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黑体" w:cs="Times New Roman"/>
          <w:color w:val="auto"/>
          <w:sz w:val="52"/>
          <w:szCs w:val="52"/>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黑体" w:cs="Times New Roman"/>
          <w:color w:val="auto"/>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建设项目竣工环境保护</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验收调查表</w:t>
      </w:r>
    </w:p>
    <w:p>
      <w:pPr>
        <w:keepNext w:val="0"/>
        <w:keepLines w:val="0"/>
        <w:pageBreakBefore w:val="0"/>
        <w:widowControl w:val="0"/>
        <w:kinsoku/>
        <w:wordWrap/>
        <w:overflowPunct/>
        <w:topLinePunct w:val="0"/>
        <w:autoSpaceDE/>
        <w:autoSpaceDN/>
        <w:bidi w:val="0"/>
        <w:adjustRightInd/>
        <w:snapToGrid/>
        <w:spacing w:line="720" w:lineRule="auto"/>
        <w:ind w:firstLine="1084" w:firstLineChars="300"/>
        <w:jc w:val="both"/>
        <w:textAlignment w:val="auto"/>
        <w:rPr>
          <w:rFonts w:hint="eastAsia" w:ascii="Times New Roman" w:hAnsi="Times New Roman" w:eastAsia="仿宋"/>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ind w:firstLine="723" w:firstLineChars="200"/>
        <w:jc w:val="both"/>
        <w:textAlignment w:val="auto"/>
        <w:rPr>
          <w:rFonts w:hint="eastAsia" w:ascii="Times New Roman" w:hAnsi="Times New Roman" w:eastAsia="仿宋"/>
          <w:b/>
          <w:bCs/>
          <w:color w:val="auto"/>
          <w:sz w:val="36"/>
          <w:szCs w:val="36"/>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项目名称：</w:t>
      </w:r>
      <w:r>
        <w:rPr>
          <w:rFonts w:hint="eastAsia" w:ascii="宋体" w:hAnsi="宋体" w:eastAsia="宋体" w:cs="宋体"/>
          <w:b/>
          <w:bCs/>
          <w:color w:val="auto"/>
          <w:sz w:val="32"/>
          <w:szCs w:val="32"/>
          <w:u w:val="single"/>
          <w:lang w:val="en-US" w:eastAsia="zh-CN"/>
        </w:rPr>
        <w:t xml:space="preserve">自贡市富荣产城融合带基础设施建设项目（C、D段） </w:t>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both"/>
        <w:textAlignment w:val="auto"/>
        <w:rPr>
          <w:rFonts w:hint="eastAsia" w:ascii="宋体" w:hAnsi="宋体" w:eastAsia="宋体" w:cs="宋体"/>
          <w:b/>
          <w:bCs/>
          <w:color w:val="auto"/>
          <w:sz w:val="32"/>
          <w:szCs w:val="32"/>
          <w:u w:val="single"/>
          <w:lang w:val="en-US" w:eastAsia="zh-CN"/>
        </w:rPr>
      </w:pPr>
      <w:r>
        <w:rPr>
          <w:rFonts w:hint="eastAsia" w:ascii="宋体" w:hAnsi="宋体" w:eastAsia="宋体" w:cs="宋体"/>
          <w:b/>
          <w:bCs/>
          <w:color w:val="auto"/>
          <w:sz w:val="32"/>
          <w:szCs w:val="32"/>
          <w:lang w:val="en-US" w:eastAsia="zh-CN"/>
        </w:rPr>
        <w:t>建设单位：</w:t>
      </w:r>
      <w:r>
        <w:rPr>
          <w:rFonts w:hint="eastAsia" w:ascii="宋体" w:hAnsi="宋体" w:eastAsia="宋体" w:cs="宋体"/>
          <w:b/>
          <w:bCs/>
          <w:color w:val="auto"/>
          <w:sz w:val="32"/>
          <w:szCs w:val="32"/>
          <w:u w:val="single"/>
          <w:lang w:val="en-US" w:eastAsia="zh-CN"/>
        </w:rPr>
        <w:t xml:space="preserve">  中交自贡城市建设发展有限公司 </w:t>
      </w:r>
    </w:p>
    <w:p>
      <w:pPr>
        <w:keepNext w:val="0"/>
        <w:keepLines w:val="0"/>
        <w:pageBreakBefore w:val="0"/>
        <w:wordWrap/>
        <w:overflowPunct/>
        <w:topLinePunct w:val="0"/>
        <w:bidi w:val="0"/>
        <w:spacing w:line="480" w:lineRule="auto"/>
        <w:ind w:firstLine="0" w:firstLineChars="0"/>
        <w:rPr>
          <w:rFonts w:hint="eastAsia" w:ascii="宋体" w:hAnsi="宋体" w:eastAsia="宋体" w:cs="宋体"/>
          <w:b/>
          <w:bCs/>
          <w:color w:val="auto"/>
          <w:sz w:val="32"/>
          <w:szCs w:val="32"/>
          <w:u w:val="single"/>
          <w:lang w:val="en-US" w:eastAsia="zh-CN"/>
        </w:rPr>
      </w:pPr>
      <w:r>
        <w:rPr>
          <w:rFonts w:hint="eastAsia" w:ascii="宋体" w:hAnsi="宋体" w:eastAsia="宋体" w:cs="宋体"/>
          <w:b/>
          <w:bCs/>
          <w:color w:val="auto"/>
          <w:sz w:val="32"/>
          <w:szCs w:val="32"/>
          <w:lang w:val="en-US" w:eastAsia="zh-CN"/>
        </w:rPr>
        <w:t>调查单位：</w:t>
      </w:r>
      <w:r>
        <w:rPr>
          <w:rFonts w:hint="eastAsia" w:ascii="宋体" w:hAnsi="宋体" w:eastAsia="宋体" w:cs="宋体"/>
          <w:b/>
          <w:bCs/>
          <w:color w:val="auto"/>
          <w:sz w:val="32"/>
          <w:szCs w:val="32"/>
          <w:u w:val="single"/>
          <w:lang w:val="en-US" w:eastAsia="zh-CN"/>
        </w:rPr>
        <w:t>四川吉之源科技发展有限公司</w:t>
      </w:r>
    </w:p>
    <w:p>
      <w:pPr>
        <w:keepNext w:val="0"/>
        <w:keepLines w:val="0"/>
        <w:pageBreakBefore w:val="0"/>
        <w:wordWrap/>
        <w:overflowPunct/>
        <w:topLinePunct w:val="0"/>
        <w:bidi w:val="0"/>
        <w:spacing w:line="480" w:lineRule="auto"/>
        <w:ind w:firstLine="0" w:firstLineChars="0"/>
        <w:rPr>
          <w:rFonts w:hint="eastAsia" w:ascii="宋体" w:hAnsi="宋体" w:eastAsia="宋体" w:cs="宋体"/>
          <w:sz w:val="32"/>
          <w:szCs w:val="32"/>
          <w:u w:val="single"/>
          <w:lang w:val="en-US"/>
        </w:rPr>
      </w:pPr>
      <w:r>
        <w:rPr>
          <w:rFonts w:hint="eastAsia" w:ascii="宋体" w:hAnsi="宋体" w:eastAsia="宋体" w:cs="宋体"/>
          <w:b/>
          <w:bCs/>
          <w:color w:val="auto"/>
          <w:sz w:val="32"/>
          <w:szCs w:val="32"/>
          <w:lang w:val="en-US" w:eastAsia="zh-CN"/>
        </w:rPr>
        <w:t>调查时间：</w:t>
      </w:r>
      <w:r>
        <w:rPr>
          <w:rFonts w:hint="eastAsia" w:ascii="宋体" w:hAnsi="宋体" w:eastAsia="宋体" w:cs="宋体"/>
          <w:b/>
          <w:bCs/>
          <w:color w:val="auto"/>
          <w:sz w:val="32"/>
          <w:szCs w:val="32"/>
          <w:u w:val="single"/>
          <w:lang w:val="en-US" w:eastAsia="zh-CN"/>
        </w:rPr>
        <w:t>2023年11月</w:t>
      </w:r>
    </w:p>
    <w:p>
      <w:pPr>
        <w:spacing w:after="0" w:line="480" w:lineRule="auto"/>
        <w:rPr>
          <w:rFonts w:hint="eastAsia" w:ascii="仿宋_GB2312" w:eastAsia="仿宋_GB2312"/>
          <w:b/>
          <w:color w:val="auto"/>
          <w:sz w:val="28"/>
          <w:highlight w:val="none"/>
        </w:rPr>
      </w:pPr>
    </w:p>
    <w:p>
      <w:pPr>
        <w:pStyle w:val="3"/>
        <w:rPr>
          <w:rFonts w:hint="eastAsia" w:ascii="仿宋_GB2312" w:eastAsia="仿宋_GB2312"/>
          <w:b/>
          <w:color w:val="auto"/>
          <w:sz w:val="28"/>
          <w:highlight w:val="none"/>
        </w:rPr>
      </w:pPr>
    </w:p>
    <w:p>
      <w:pPr>
        <w:spacing w:after="0" w:line="480" w:lineRule="auto"/>
        <w:rPr>
          <w:rFonts w:hint="eastAsia" w:ascii="仿宋_GB2312" w:eastAsia="仿宋_GB2312"/>
          <w:b/>
          <w:color w:val="auto"/>
          <w:sz w:val="28"/>
          <w:highlight w:val="none"/>
        </w:rPr>
      </w:pPr>
    </w:p>
    <w:p>
      <w:pPr>
        <w:spacing w:after="0" w:line="480" w:lineRule="auto"/>
        <w:rPr>
          <w:rFonts w:hint="eastAsia" w:ascii="仿宋_GB2312" w:eastAsia="仿宋_GB2312"/>
          <w:b/>
          <w:color w:val="auto"/>
          <w:sz w:val="28"/>
          <w:highlight w:val="none"/>
        </w:rPr>
      </w:pPr>
    </w:p>
    <w:p>
      <w:pPr>
        <w:spacing w:after="0" w:line="480" w:lineRule="auto"/>
        <w:rPr>
          <w:rFonts w:ascii="仿宋_GB2312" w:eastAsia="仿宋_GB2312"/>
          <w:color w:val="auto"/>
          <w:sz w:val="32"/>
          <w:highlight w:val="none"/>
        </w:rPr>
      </w:pPr>
      <w:r>
        <w:rPr>
          <w:rFonts w:hint="eastAsia" w:ascii="仿宋_GB2312" w:eastAsia="仿宋_GB2312"/>
          <w:b/>
          <w:color w:val="auto"/>
          <w:sz w:val="28"/>
          <w:highlight w:val="none"/>
        </w:rPr>
        <w:t>建设单位法人代表</w:t>
      </w:r>
      <w:r>
        <w:rPr>
          <w:rFonts w:ascii="仿宋_GB2312" w:eastAsia="仿宋_GB2312"/>
          <w:b/>
          <w:color w:val="auto"/>
          <w:sz w:val="28"/>
          <w:highlight w:val="none"/>
        </w:rPr>
        <w:t>:</w:t>
      </w:r>
      <w:r>
        <w:rPr>
          <w:rFonts w:ascii="仿宋_GB2312" w:eastAsia="仿宋_GB2312"/>
          <w:color w:val="auto"/>
          <w:sz w:val="28"/>
          <w:highlight w:val="none"/>
        </w:rPr>
        <w:tab/>
      </w:r>
      <w:r>
        <w:rPr>
          <w:rFonts w:hint="eastAsia" w:ascii="仿宋_GB2312" w:eastAsia="仿宋_GB2312"/>
          <w:color w:val="auto"/>
          <w:sz w:val="28"/>
          <w:highlight w:val="none"/>
        </w:rPr>
        <w:t xml:space="preserve">          （签字）</w:t>
      </w:r>
    </w:p>
    <w:p>
      <w:pPr>
        <w:spacing w:after="0" w:line="480" w:lineRule="auto"/>
        <w:rPr>
          <w:rFonts w:ascii="仿宋_GB2312" w:eastAsia="仿宋_GB2312"/>
          <w:color w:val="auto"/>
          <w:sz w:val="28"/>
          <w:highlight w:val="none"/>
        </w:rPr>
      </w:pPr>
      <w:r>
        <w:rPr>
          <w:rFonts w:hint="eastAsia" w:ascii="仿宋_GB2312" w:eastAsia="仿宋_GB2312"/>
          <w:b/>
          <w:color w:val="auto"/>
          <w:sz w:val="28"/>
          <w:highlight w:val="none"/>
        </w:rPr>
        <w:t>编制单位法人代表</w:t>
      </w:r>
      <w:r>
        <w:rPr>
          <w:rFonts w:ascii="仿宋_GB2312" w:eastAsia="仿宋_GB2312"/>
          <w:b/>
          <w:color w:val="auto"/>
          <w:sz w:val="28"/>
          <w:highlight w:val="none"/>
        </w:rPr>
        <w:t>:</w:t>
      </w:r>
      <w:r>
        <w:rPr>
          <w:rFonts w:ascii="仿宋_GB2312" w:eastAsia="仿宋_GB2312"/>
          <w:color w:val="auto"/>
          <w:sz w:val="28"/>
          <w:highlight w:val="none"/>
        </w:rPr>
        <w:tab/>
      </w:r>
      <w:r>
        <w:rPr>
          <w:rFonts w:hint="eastAsia" w:ascii="仿宋_GB2312" w:eastAsia="仿宋_GB2312"/>
          <w:color w:val="auto"/>
          <w:sz w:val="28"/>
          <w:highlight w:val="none"/>
        </w:rPr>
        <w:t xml:space="preserve">          （签字）</w:t>
      </w:r>
    </w:p>
    <w:p>
      <w:pPr>
        <w:spacing w:after="0" w:line="480" w:lineRule="auto"/>
        <w:rPr>
          <w:rFonts w:ascii="仿宋_GB2312" w:eastAsia="仿宋_GB2312"/>
          <w:b/>
          <w:color w:val="auto"/>
          <w:spacing w:val="2"/>
          <w:w w:val="79"/>
          <w:sz w:val="28"/>
          <w:highlight w:val="none"/>
        </w:rPr>
      </w:pPr>
      <w:r>
        <w:rPr>
          <w:rFonts w:hint="eastAsia" w:ascii="仿宋_GB2312" w:eastAsia="仿宋_GB2312"/>
          <w:b/>
          <w:color w:val="auto"/>
          <w:spacing w:val="10"/>
          <w:w w:val="79"/>
          <w:sz w:val="28"/>
          <w:highlight w:val="none"/>
        </w:rPr>
        <w:t>项  目  负  责  人</w:t>
      </w:r>
      <w:r>
        <w:rPr>
          <w:rFonts w:ascii="仿宋_GB2312" w:eastAsia="仿宋_GB2312"/>
          <w:b/>
          <w:color w:val="auto"/>
          <w:spacing w:val="7"/>
          <w:w w:val="79"/>
          <w:sz w:val="28"/>
          <w:highlight w:val="none"/>
        </w:rPr>
        <w:t>:</w:t>
      </w:r>
    </w:p>
    <w:p>
      <w:pPr>
        <w:spacing w:after="0" w:line="480" w:lineRule="auto"/>
        <w:rPr>
          <w:rFonts w:ascii="仿宋_GB2312" w:eastAsia="仿宋_GB2312"/>
          <w:b/>
          <w:color w:val="auto"/>
          <w:w w:val="88"/>
          <w:sz w:val="28"/>
          <w:highlight w:val="none"/>
        </w:rPr>
      </w:pPr>
      <w:r>
        <w:rPr>
          <w:rFonts w:hint="eastAsia" w:ascii="仿宋_GB2312" w:eastAsia="仿宋_GB2312"/>
          <w:b/>
          <w:color w:val="auto"/>
          <w:spacing w:val="2"/>
          <w:w w:val="79"/>
          <w:sz w:val="28"/>
          <w:highlight w:val="none"/>
        </w:rPr>
        <w:t>报  告  编  写  人：</w:t>
      </w:r>
    </w:p>
    <w:p>
      <w:pPr>
        <w:spacing w:line="360" w:lineRule="auto"/>
        <w:rPr>
          <w:rFonts w:ascii="仿宋_GB2312" w:eastAsia="仿宋_GB2312"/>
          <w:b/>
          <w:color w:val="auto"/>
          <w:sz w:val="28"/>
          <w:highlight w:val="none"/>
        </w:rPr>
      </w:pPr>
    </w:p>
    <w:p>
      <w:pPr>
        <w:spacing w:line="360" w:lineRule="auto"/>
        <w:rPr>
          <w:rFonts w:ascii="仿宋_GB2312" w:eastAsia="仿宋_GB2312"/>
          <w:b/>
          <w:color w:val="FF0000"/>
          <w:sz w:val="28"/>
          <w:highlight w:val="none"/>
        </w:rPr>
      </w:pPr>
    </w:p>
    <w:p>
      <w:pPr>
        <w:spacing w:line="360" w:lineRule="auto"/>
        <w:rPr>
          <w:rFonts w:ascii="仿宋_GB2312" w:eastAsia="仿宋_GB2312"/>
          <w:b/>
          <w:color w:val="FF0000"/>
          <w:sz w:val="28"/>
          <w:highlight w:val="none"/>
        </w:rPr>
      </w:pPr>
    </w:p>
    <w:p>
      <w:pPr>
        <w:spacing w:line="360" w:lineRule="auto"/>
        <w:rPr>
          <w:rFonts w:ascii="仿宋_GB2312" w:eastAsia="仿宋_GB2312"/>
          <w:b/>
          <w:color w:val="FF0000"/>
          <w:sz w:val="28"/>
          <w:highlight w:val="none"/>
        </w:rPr>
      </w:pPr>
    </w:p>
    <w:p>
      <w:pPr>
        <w:spacing w:line="360" w:lineRule="auto"/>
        <w:rPr>
          <w:rFonts w:ascii="仿宋_GB2312" w:eastAsia="仿宋_GB2312"/>
          <w:color w:val="FF0000"/>
          <w:sz w:val="28"/>
          <w:highlight w:val="none"/>
        </w:rPr>
      </w:pPr>
    </w:p>
    <w:p>
      <w:pPr>
        <w:spacing w:line="360" w:lineRule="auto"/>
        <w:rPr>
          <w:rFonts w:ascii="仿宋_GB2312" w:eastAsia="仿宋_GB2312"/>
          <w:color w:val="FF0000"/>
          <w:sz w:val="28"/>
          <w:highlight w:val="none"/>
        </w:rPr>
      </w:pPr>
    </w:p>
    <w:p>
      <w:pPr>
        <w:spacing w:line="360" w:lineRule="auto"/>
        <w:rPr>
          <w:rFonts w:ascii="仿宋_GB2312" w:eastAsia="仿宋_GB2312"/>
          <w:color w:val="FF0000"/>
          <w:sz w:val="28"/>
          <w:highlight w:val="none"/>
        </w:rPr>
      </w:pPr>
    </w:p>
    <w:p>
      <w:pPr>
        <w:spacing w:line="360" w:lineRule="auto"/>
        <w:rPr>
          <w:rFonts w:ascii="仿宋_GB2312" w:eastAsia="仿宋_GB2312"/>
          <w:color w:val="FF0000"/>
          <w:sz w:val="28"/>
          <w:highlight w:val="none"/>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9"/>
        <w:gridCol w:w="44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ascii="Times New Roman" w:hAnsi="Times New Roman" w:eastAsia="仿宋_GB2312"/>
                <w:color w:val="auto"/>
                <w:sz w:val="28"/>
                <w:highlight w:val="none"/>
              </w:rPr>
            </w:pPr>
            <w:r>
              <w:rPr>
                <w:rFonts w:ascii="Times New Roman" w:hAnsi="Times New Roman" w:eastAsia="仿宋_GB2312"/>
                <w:color w:val="auto"/>
                <w:sz w:val="28"/>
                <w:highlight w:val="none"/>
              </w:rPr>
              <w:t>建设单位：</w:t>
            </w:r>
            <w:r>
              <w:rPr>
                <w:rFonts w:hint="eastAsia" w:ascii="Times New Roman" w:hAnsi="Times New Roman" w:eastAsia="仿宋_GB2312"/>
                <w:color w:val="auto"/>
                <w:sz w:val="28"/>
                <w:highlight w:val="none"/>
              </w:rPr>
              <w:t xml:space="preserve"> 中交自贡城市建设发展有限公司（盖章）</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hint="eastAsia" w:ascii="Times New Roman" w:hAnsi="Times New Roman" w:eastAsia="仿宋_GB2312"/>
                <w:color w:val="auto"/>
                <w:sz w:val="28"/>
                <w:highlight w:val="none"/>
              </w:rPr>
              <w:t>编制单位：</w:t>
            </w:r>
            <w:r>
              <w:rPr>
                <w:rFonts w:hint="eastAsia" w:ascii="Times New Roman" w:hAnsi="Times New Roman" w:eastAsia="仿宋_GB2312"/>
                <w:color w:val="auto"/>
                <w:sz w:val="28"/>
                <w:highlight w:val="none"/>
                <w:lang w:eastAsia="zh-CN"/>
              </w:rPr>
              <w:t>四川吉之源科技发展有限公司</w:t>
            </w:r>
            <w:r>
              <w:rPr>
                <w:rFonts w:hint="eastAsia" w:ascii="Times New Roman" w:hAnsi="Times New Roman" w:eastAsia="仿宋_GB2312"/>
                <w:color w:val="auto"/>
                <w:sz w:val="28"/>
                <w:highlight w:val="none"/>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hint="default" w:ascii="Times New Roman" w:hAnsi="Times New Roman" w:eastAsia="仿宋_GB2312"/>
                <w:color w:val="auto"/>
                <w:sz w:val="28"/>
                <w:highlight w:val="none"/>
                <w:lang w:val="en-US" w:eastAsia="zh-CN"/>
              </w:rPr>
            </w:pPr>
            <w:r>
              <w:rPr>
                <w:rFonts w:ascii="Times New Roman" w:hAnsi="Times New Roman" w:eastAsia="仿宋_GB2312"/>
                <w:color w:val="auto"/>
                <w:sz w:val="28"/>
                <w:highlight w:val="none"/>
              </w:rPr>
              <w:t>电话：</w:t>
            </w:r>
            <w:r>
              <w:rPr>
                <w:rFonts w:hint="eastAsia" w:ascii="Times New Roman" w:hAnsi="Times New Roman" w:eastAsia="仿宋_GB2312"/>
                <w:color w:val="auto"/>
                <w:sz w:val="28"/>
                <w:highlight w:val="none"/>
                <w:lang w:val="en-US" w:eastAsia="zh-CN"/>
              </w:rPr>
              <w:t>/</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ascii="Times New Roman" w:hAnsi="Times New Roman" w:eastAsia="仿宋_GB2312"/>
                <w:color w:val="auto"/>
                <w:sz w:val="28"/>
                <w:highlight w:val="none"/>
              </w:rPr>
              <w:t>电话: 0813-</w:t>
            </w:r>
            <w:r>
              <w:rPr>
                <w:rFonts w:hint="eastAsia" w:ascii="Times New Roman" w:hAnsi="Times New Roman" w:eastAsia="仿宋_GB2312"/>
                <w:color w:val="auto"/>
                <w:sz w:val="28"/>
                <w:highlight w:val="none"/>
                <w:lang w:val="en-US" w:eastAsia="zh-CN"/>
              </w:rPr>
              <w:t>7776666</w:t>
            </w:r>
            <w:r>
              <w:rPr>
                <w:rFonts w:ascii="Times New Roman" w:hAnsi="Times New Roman" w:eastAsia="仿宋_GB2312"/>
                <w:color w:val="auto"/>
                <w:sz w:val="28"/>
                <w:highlight w:val="non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ascii="Times New Roman" w:hAnsi="Times New Roman" w:eastAsia="仿宋_GB2312"/>
                <w:color w:val="auto"/>
                <w:sz w:val="28"/>
                <w:highlight w:val="none"/>
              </w:rPr>
            </w:pPr>
            <w:r>
              <w:rPr>
                <w:rFonts w:ascii="Times New Roman" w:hAnsi="Times New Roman" w:eastAsia="仿宋_GB2312"/>
                <w:color w:val="auto"/>
                <w:sz w:val="28"/>
                <w:highlight w:val="none"/>
              </w:rPr>
              <w:t>传真：/</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ascii="Times New Roman" w:hAnsi="Times New Roman" w:eastAsia="仿宋_GB2312"/>
                <w:color w:val="auto"/>
                <w:sz w:val="28"/>
                <w:highlight w:val="none"/>
              </w:rPr>
              <w:t xml:space="preserve">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hint="eastAsia" w:ascii="Times New Roman" w:hAnsi="Times New Roman" w:eastAsia="仿宋_GB2312"/>
                <w:color w:val="auto"/>
                <w:sz w:val="28"/>
                <w:highlight w:val="none"/>
                <w:lang w:val="en-US" w:eastAsia="zh-CN"/>
              </w:rPr>
            </w:pPr>
            <w:r>
              <w:rPr>
                <w:rFonts w:ascii="Times New Roman" w:hAnsi="Times New Roman" w:eastAsia="仿宋_GB2312"/>
                <w:color w:val="auto"/>
                <w:sz w:val="28"/>
                <w:highlight w:val="none"/>
              </w:rPr>
              <w:t>邮编：</w:t>
            </w:r>
            <w:r>
              <w:rPr>
                <w:rFonts w:hint="eastAsia" w:ascii="Times New Roman" w:hAnsi="Times New Roman" w:eastAsia="仿宋_GB2312"/>
                <w:color w:val="auto"/>
                <w:sz w:val="28"/>
                <w:highlight w:val="none"/>
                <w:lang w:val="en-US" w:eastAsia="zh-CN"/>
              </w:rPr>
              <w:t>/</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ascii="Times New Roman" w:hAnsi="Times New Roman" w:eastAsia="仿宋_GB2312"/>
                <w:color w:val="auto"/>
                <w:sz w:val="28"/>
                <w:highlight w:val="none"/>
              </w:rPr>
              <w:t>邮编: 643</w:t>
            </w:r>
            <w:r>
              <w:rPr>
                <w:rFonts w:hint="eastAsia" w:ascii="Times New Roman" w:hAnsi="Times New Roman" w:eastAsia="仿宋_GB2312"/>
                <w:color w:val="auto"/>
                <w:sz w:val="28"/>
                <w:highlight w:val="none"/>
              </w:rPr>
              <w:t>0</w:t>
            </w:r>
            <w:r>
              <w:rPr>
                <w:rFonts w:hint="eastAsia" w:ascii="Times New Roman" w:hAnsi="Times New Roman" w:eastAsia="仿宋_GB2312"/>
                <w:color w:val="auto"/>
                <w:sz w:val="28"/>
                <w:highlight w:val="none"/>
                <w:lang w:val="en-US" w:eastAsia="zh-CN"/>
              </w:rPr>
              <w:t>30</w:t>
            </w:r>
            <w:r>
              <w:rPr>
                <w:rFonts w:ascii="Times New Roman" w:hAnsi="Times New Roman" w:eastAsia="仿宋_GB2312"/>
                <w:color w:val="auto"/>
                <w:sz w:val="28"/>
                <w:highlight w:val="none"/>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4309" w:type="dxa"/>
            <w:tcBorders>
              <w:tl2br w:val="nil"/>
              <w:tr2bl w:val="nil"/>
            </w:tcBorders>
            <w:noWrap w:val="0"/>
            <w:vAlign w:val="top"/>
          </w:tcPr>
          <w:p>
            <w:pPr>
              <w:widowControl/>
              <w:spacing w:after="0" w:line="360" w:lineRule="auto"/>
              <w:jc w:val="both"/>
              <w:textAlignment w:val="auto"/>
              <w:rPr>
                <w:rFonts w:hint="eastAsia" w:ascii="Times New Roman" w:hAnsi="Times New Roman" w:eastAsia="仿宋_GB2312"/>
                <w:color w:val="auto"/>
                <w:sz w:val="28"/>
                <w:highlight w:val="none"/>
                <w:lang w:eastAsia="zh-CN"/>
              </w:rPr>
            </w:pPr>
            <w:r>
              <w:rPr>
                <w:rFonts w:ascii="Times New Roman" w:hAnsi="Times New Roman" w:eastAsia="仿宋_GB2312"/>
                <w:color w:val="auto"/>
                <w:sz w:val="28"/>
                <w:highlight w:val="none"/>
              </w:rPr>
              <w:t>地址：</w:t>
            </w:r>
            <w:r>
              <w:rPr>
                <w:rFonts w:hint="eastAsia" w:ascii="Times New Roman" w:hAnsi="Times New Roman" w:eastAsia="仿宋_GB2312"/>
                <w:color w:val="auto"/>
                <w:sz w:val="28"/>
                <w:highlight w:val="none"/>
              </w:rPr>
              <w:t>四川省自贡市沿滩区沿滩新城古盐道华润·龙湖雅居1栋商业2-1-6号</w:t>
            </w:r>
          </w:p>
        </w:tc>
        <w:tc>
          <w:tcPr>
            <w:tcW w:w="4491" w:type="dxa"/>
            <w:tcBorders>
              <w:tl2br w:val="nil"/>
              <w:tr2bl w:val="nil"/>
            </w:tcBorders>
            <w:noWrap w:val="0"/>
            <w:vAlign w:val="top"/>
          </w:tcPr>
          <w:p>
            <w:pPr>
              <w:widowControl/>
              <w:spacing w:after="0" w:line="360" w:lineRule="auto"/>
              <w:jc w:val="both"/>
              <w:textAlignment w:val="auto"/>
              <w:rPr>
                <w:rFonts w:ascii="Times New Roman" w:hAnsi="Times New Roman" w:cs="Times New Roman"/>
                <w:color w:val="auto"/>
                <w:szCs w:val="21"/>
                <w:highlight w:val="none"/>
              </w:rPr>
            </w:pPr>
            <w:r>
              <w:rPr>
                <w:rFonts w:ascii="Times New Roman" w:hAnsi="Times New Roman" w:eastAsia="仿宋_GB2312"/>
                <w:color w:val="auto"/>
                <w:sz w:val="28"/>
                <w:highlight w:val="none"/>
              </w:rPr>
              <w:t xml:space="preserve">地址: </w:t>
            </w:r>
            <w:r>
              <w:rPr>
                <w:rFonts w:hint="eastAsia" w:ascii="Times New Roman" w:hAnsi="Times New Roman" w:eastAsia="仿宋_GB2312"/>
                <w:color w:val="auto"/>
                <w:sz w:val="28"/>
                <w:lang w:eastAsia="zh-CN"/>
              </w:rPr>
              <w:t>自贡市沿滩区沿滩工业园区兴元路1号科技孵化园</w:t>
            </w:r>
          </w:p>
        </w:tc>
      </w:tr>
    </w:tbl>
    <w:p>
      <w:pPr>
        <w:pStyle w:val="3"/>
        <w:rPr>
          <w:rFonts w:hint="eastAsia"/>
          <w:sz w:val="32"/>
          <w:szCs w:val="16"/>
        </w:rPr>
        <w:sectPr>
          <w:headerReference r:id="rId5" w:type="default"/>
          <w:footerReference r:id="rId6" w:type="default"/>
          <w:pgSz w:w="11900" w:h="16840"/>
          <w:pgMar w:top="1046" w:right="1549" w:bottom="1345" w:left="1559" w:header="857" w:footer="1196" w:gutter="0"/>
          <w:cols w:space="720" w:num="1"/>
        </w:sectPr>
      </w:pPr>
    </w:p>
    <w:sdt>
      <w:sdtPr>
        <w:rPr>
          <w:rFonts w:hint="eastAsia" w:ascii="宋体" w:hAnsi="宋体" w:eastAsia="宋体" w:cs="宋体"/>
          <w:snapToGrid w:val="0"/>
          <w:color w:val="000000"/>
          <w:kern w:val="0"/>
          <w:sz w:val="36"/>
          <w:szCs w:val="36"/>
        </w:rPr>
        <w:id w:val="147466058"/>
        <w15:color w:val="DBDBDB"/>
        <w:docPartObj>
          <w:docPartGallery w:val="Table of Contents"/>
          <w:docPartUnique/>
        </w:docPartObj>
      </w:sdtPr>
      <w:sdtEndPr>
        <w:rPr>
          <w:rFonts w:hint="eastAsia" w:ascii="宋体" w:hAnsi="宋体" w:eastAsia="宋体" w:cs="宋体"/>
          <w:b/>
          <w:snapToGrid w:val="0"/>
          <w:color w:val="000000"/>
          <w:kern w:val="0"/>
          <w:sz w:val="36"/>
          <w:szCs w:val="36"/>
        </w:rPr>
      </w:sdtEndPr>
      <w:sdtContent>
        <w:p>
          <w:pPr>
            <w:keepNext w:val="0"/>
            <w:keepLines w:val="0"/>
            <w:pageBreakBefore w:val="0"/>
            <w:widowControl/>
            <w:wordWrap/>
            <w:overflowPunct/>
            <w:topLinePunct w:val="0"/>
            <w:bidi w:val="0"/>
            <w:spacing w:before="0" w:beforeLines="0" w:after="0" w:afterLines="0" w:line="360" w:lineRule="auto"/>
            <w:ind w:left="0" w:leftChars="0" w:right="0" w:rightChars="0" w:firstLine="0" w:firstLineChars="0"/>
            <w:jc w:val="center"/>
            <w:rPr>
              <w:rFonts w:hint="eastAsia"/>
            </w:rPr>
          </w:pPr>
          <w:r>
            <w:rPr>
              <w:rFonts w:hint="eastAsia" w:ascii="宋体" w:hAnsi="宋体" w:eastAsia="宋体" w:cs="宋体"/>
              <w:sz w:val="36"/>
              <w:szCs w:val="36"/>
            </w:rPr>
            <w:t>目</w:t>
          </w:r>
          <w:r>
            <w:rPr>
              <w:rFonts w:hint="eastAsia" w:ascii="宋体" w:hAnsi="宋体" w:eastAsia="宋体" w:cs="宋体"/>
              <w:sz w:val="36"/>
              <w:szCs w:val="36"/>
              <w:lang w:val="en-US" w:eastAsia="zh-CN"/>
            </w:rPr>
            <w:t xml:space="preserve">  </w:t>
          </w:r>
          <w:r>
            <w:rPr>
              <w:rFonts w:hint="eastAsia" w:ascii="宋体" w:hAnsi="宋体" w:eastAsia="宋体" w:cs="宋体"/>
              <w:sz w:val="36"/>
              <w:szCs w:val="36"/>
            </w:rPr>
            <w:t>录</w:t>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_Toc32472 </w:instrText>
          </w:r>
          <w:r>
            <w:rPr>
              <w:rFonts w:hint="eastAsia" w:ascii="宋体" w:hAnsi="宋体" w:eastAsia="宋体" w:cs="宋体"/>
              <w:sz w:val="24"/>
              <w:szCs w:val="24"/>
            </w:rPr>
            <w:fldChar w:fldCharType="separate"/>
          </w:r>
          <w:r>
            <w:rPr>
              <w:rFonts w:hint="eastAsia" w:ascii="宋体" w:hAnsi="宋体" w:eastAsia="宋体" w:cs="宋体"/>
              <w:sz w:val="24"/>
              <w:szCs w:val="24"/>
            </w:rPr>
            <w:t>第一章 前言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_Toc32472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_Toc100 </w:instrText>
          </w:r>
          <w:r>
            <w:rPr>
              <w:rFonts w:hint="eastAsia" w:ascii="宋体" w:hAnsi="宋体" w:eastAsia="宋体" w:cs="宋体"/>
              <w:sz w:val="24"/>
              <w:szCs w:val="24"/>
            </w:rPr>
            <w:fldChar w:fldCharType="separate"/>
          </w:r>
          <w:r>
            <w:rPr>
              <w:rFonts w:hint="eastAsia" w:ascii="宋体" w:hAnsi="宋体" w:eastAsia="宋体" w:cs="宋体"/>
              <w:sz w:val="24"/>
              <w:szCs w:val="24"/>
            </w:rPr>
            <w:t>第二章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_Toc31546 </w:instrText>
          </w:r>
          <w:r>
            <w:rPr>
              <w:rFonts w:hint="eastAsia" w:ascii="宋体" w:hAnsi="宋体" w:eastAsia="宋体" w:cs="宋体"/>
              <w:sz w:val="24"/>
              <w:szCs w:val="24"/>
            </w:rPr>
            <w:fldChar w:fldCharType="separate"/>
          </w:r>
          <w:r>
            <w:rPr>
              <w:rFonts w:hint="eastAsia" w:ascii="宋体" w:hAnsi="宋体" w:eastAsia="宋体" w:cs="宋体"/>
              <w:sz w:val="24"/>
              <w:szCs w:val="24"/>
            </w:rPr>
            <w:t>2.1 调查目的及原则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_Toc31546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_Toc9721 </w:instrText>
          </w:r>
          <w:r>
            <w:rPr>
              <w:rFonts w:hint="eastAsia" w:ascii="宋体" w:hAnsi="宋体" w:eastAsia="宋体" w:cs="宋体"/>
              <w:sz w:val="24"/>
              <w:szCs w:val="24"/>
            </w:rPr>
            <w:fldChar w:fldCharType="separate"/>
          </w:r>
          <w:r>
            <w:rPr>
              <w:rFonts w:hint="eastAsia" w:ascii="宋体" w:hAnsi="宋体" w:eastAsia="宋体" w:cs="宋体"/>
              <w:sz w:val="24"/>
              <w:szCs w:val="24"/>
            </w:rPr>
            <w:t>2.2编制依据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_Toc9721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_Toc18154 </w:instrText>
          </w:r>
          <w:r>
            <w:rPr>
              <w:rFonts w:hint="eastAsia" w:ascii="宋体" w:hAnsi="宋体" w:eastAsia="宋体" w:cs="宋体"/>
              <w:sz w:val="24"/>
              <w:szCs w:val="24"/>
            </w:rPr>
            <w:fldChar w:fldCharType="separate"/>
          </w:r>
          <w:r>
            <w:rPr>
              <w:rFonts w:hint="eastAsia" w:ascii="宋体" w:hAnsi="宋体" w:eastAsia="宋体" w:cs="宋体"/>
              <w:sz w:val="24"/>
              <w:szCs w:val="24"/>
            </w:rPr>
            <w:t>2.3 调查方法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_Toc18154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_Toc26550 </w:instrText>
          </w:r>
          <w:r>
            <w:rPr>
              <w:rFonts w:hint="eastAsia" w:ascii="宋体" w:hAnsi="宋体" w:eastAsia="宋体" w:cs="宋体"/>
              <w:sz w:val="24"/>
              <w:szCs w:val="24"/>
            </w:rPr>
            <w:fldChar w:fldCharType="separate"/>
          </w:r>
          <w:r>
            <w:rPr>
              <w:rFonts w:hint="eastAsia" w:ascii="宋体" w:hAnsi="宋体" w:eastAsia="宋体" w:cs="宋体"/>
              <w:sz w:val="24"/>
              <w:szCs w:val="24"/>
            </w:rPr>
            <w:t>2.4 调查范围和验收标准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_Toc26550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_Toc1251 </w:instrText>
          </w:r>
          <w:r>
            <w:rPr>
              <w:rFonts w:hint="eastAsia" w:ascii="宋体" w:hAnsi="宋体" w:eastAsia="宋体" w:cs="宋体"/>
              <w:sz w:val="24"/>
              <w:szCs w:val="24"/>
            </w:rPr>
            <w:fldChar w:fldCharType="separate"/>
          </w:r>
          <w:r>
            <w:rPr>
              <w:rFonts w:hint="eastAsia" w:ascii="宋体" w:hAnsi="宋体" w:eastAsia="宋体" w:cs="宋体"/>
              <w:sz w:val="24"/>
              <w:szCs w:val="24"/>
            </w:rPr>
            <w:t>2.5 环境敏感目标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_Toc20316 </w:instrText>
          </w:r>
          <w:r>
            <w:rPr>
              <w:rFonts w:hint="eastAsia" w:ascii="宋体" w:hAnsi="宋体" w:eastAsia="宋体" w:cs="宋体"/>
              <w:sz w:val="24"/>
              <w:szCs w:val="24"/>
            </w:rPr>
            <w:fldChar w:fldCharType="separate"/>
          </w:r>
          <w:r>
            <w:rPr>
              <w:rFonts w:hint="eastAsia" w:ascii="宋体" w:hAnsi="宋体" w:eastAsia="宋体" w:cs="宋体"/>
              <w:sz w:val="24"/>
              <w:szCs w:val="24"/>
            </w:rPr>
            <w:t>2.6 调查重点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_Toc20316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_Toc26597 </w:instrText>
          </w:r>
          <w:r>
            <w:rPr>
              <w:rFonts w:hint="eastAsia" w:ascii="宋体" w:hAnsi="宋体" w:eastAsia="宋体" w:cs="宋体"/>
              <w:sz w:val="24"/>
              <w:szCs w:val="24"/>
            </w:rPr>
            <w:fldChar w:fldCharType="separate"/>
          </w:r>
          <w:r>
            <w:rPr>
              <w:rFonts w:hint="eastAsia" w:ascii="宋体" w:hAnsi="宋体" w:eastAsia="宋体" w:cs="宋体"/>
              <w:sz w:val="24"/>
              <w:szCs w:val="24"/>
            </w:rPr>
            <w:t>第 三 章  工 程 建 设 概 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_Toc26597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_Toc23711 </w:instrText>
          </w:r>
          <w:r>
            <w:rPr>
              <w:rFonts w:hint="eastAsia" w:ascii="宋体" w:hAnsi="宋体" w:eastAsia="宋体" w:cs="宋体"/>
              <w:sz w:val="24"/>
              <w:szCs w:val="24"/>
            </w:rPr>
            <w:fldChar w:fldCharType="separate"/>
          </w:r>
          <w:r>
            <w:rPr>
              <w:rFonts w:hint="eastAsia" w:ascii="宋体" w:hAnsi="宋体" w:eastAsia="宋体" w:cs="宋体"/>
              <w:sz w:val="24"/>
              <w:szCs w:val="24"/>
            </w:rPr>
            <w:t>3.1 公路建设过程回顾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_Toc23711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_Toc4324 </w:instrText>
          </w:r>
          <w:r>
            <w:rPr>
              <w:rFonts w:hint="eastAsia" w:ascii="宋体" w:hAnsi="宋体" w:eastAsia="宋体" w:cs="宋体"/>
              <w:sz w:val="24"/>
              <w:szCs w:val="24"/>
            </w:rPr>
            <w:fldChar w:fldCharType="separate"/>
          </w:r>
          <w:r>
            <w:rPr>
              <w:rFonts w:hint="eastAsia" w:ascii="宋体" w:hAnsi="宋体" w:eastAsia="宋体" w:cs="宋体"/>
              <w:sz w:val="24"/>
              <w:szCs w:val="24"/>
            </w:rPr>
            <w:t>3.2地理位置及路线走向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_Toc4324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_Toc5230 </w:instrText>
          </w:r>
          <w:r>
            <w:rPr>
              <w:rFonts w:hint="eastAsia" w:ascii="宋体" w:hAnsi="宋体" w:eastAsia="宋体" w:cs="宋体"/>
              <w:sz w:val="24"/>
              <w:szCs w:val="24"/>
            </w:rPr>
            <w:fldChar w:fldCharType="separate"/>
          </w:r>
          <w:r>
            <w:rPr>
              <w:rFonts w:hint="eastAsia" w:ascii="宋体" w:hAnsi="宋体" w:eastAsia="宋体" w:cs="宋体"/>
              <w:sz w:val="24"/>
              <w:szCs w:val="24"/>
            </w:rPr>
            <w:t>3.3建设规模与主要技术指标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_Toc5230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_Toc25010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3.4</w:t>
          </w:r>
          <w:r>
            <w:rPr>
              <w:rFonts w:hint="eastAsia" w:ascii="宋体" w:hAnsi="宋体" w:eastAsia="宋体" w:cs="宋体"/>
              <w:sz w:val="24"/>
              <w:szCs w:val="24"/>
            </w:rPr>
            <w:t>工程建设变化情况及说明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_Toc25010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_Toc1901 </w:instrText>
          </w:r>
          <w:r>
            <w:rPr>
              <w:rFonts w:hint="eastAsia" w:ascii="宋体" w:hAnsi="宋体" w:eastAsia="宋体" w:cs="宋体"/>
              <w:sz w:val="24"/>
              <w:szCs w:val="24"/>
            </w:rPr>
            <w:fldChar w:fldCharType="separate"/>
          </w:r>
          <w:r>
            <w:rPr>
              <w:rFonts w:hint="eastAsia" w:ascii="宋体" w:hAnsi="宋体" w:eastAsia="宋体" w:cs="宋体"/>
              <w:sz w:val="24"/>
              <w:szCs w:val="24"/>
            </w:rPr>
            <w:t>3.5 车流量分析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_Toc1901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_Toc28188 </w:instrText>
          </w:r>
          <w:r>
            <w:rPr>
              <w:rFonts w:hint="eastAsia" w:ascii="宋体" w:hAnsi="宋体" w:eastAsia="宋体" w:cs="宋体"/>
              <w:sz w:val="24"/>
              <w:szCs w:val="24"/>
            </w:rPr>
            <w:fldChar w:fldCharType="separate"/>
          </w:r>
          <w:r>
            <w:rPr>
              <w:rFonts w:hint="eastAsia" w:ascii="宋体" w:hAnsi="宋体" w:eastAsia="宋体" w:cs="宋体"/>
              <w:sz w:val="24"/>
              <w:szCs w:val="24"/>
            </w:rPr>
            <w:t>3.6 工程总投资及环保投资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_Toc28188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_Toc28957 </w:instrText>
          </w:r>
          <w:r>
            <w:rPr>
              <w:rFonts w:hint="eastAsia" w:ascii="宋体" w:hAnsi="宋体" w:eastAsia="宋体" w:cs="宋体"/>
              <w:sz w:val="24"/>
              <w:szCs w:val="24"/>
            </w:rPr>
            <w:fldChar w:fldCharType="separate"/>
          </w:r>
          <w:r>
            <w:rPr>
              <w:rFonts w:hint="eastAsia" w:ascii="宋体" w:hAnsi="宋体" w:eastAsia="宋体" w:cs="宋体"/>
              <w:sz w:val="24"/>
              <w:szCs w:val="24"/>
            </w:rPr>
            <w:t>第四章  环境影响</w:t>
          </w:r>
          <w:r>
            <w:rPr>
              <w:rFonts w:hint="eastAsia" w:ascii="宋体" w:hAnsi="宋体" w:eastAsia="宋体" w:cs="宋体"/>
              <w:sz w:val="24"/>
              <w:szCs w:val="24"/>
              <w:lang w:eastAsia="zh-CN"/>
            </w:rPr>
            <w:t>报告表</w:t>
          </w:r>
          <w:r>
            <w:rPr>
              <w:rFonts w:hint="eastAsia" w:ascii="宋体" w:hAnsi="宋体" w:eastAsia="宋体" w:cs="宋体"/>
              <w:sz w:val="24"/>
              <w:szCs w:val="24"/>
            </w:rPr>
            <w:t>回顾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_Toc28957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_Toc18137 </w:instrText>
          </w:r>
          <w:r>
            <w:rPr>
              <w:rFonts w:hint="eastAsia" w:ascii="宋体" w:hAnsi="宋体" w:eastAsia="宋体" w:cs="宋体"/>
              <w:sz w:val="24"/>
              <w:szCs w:val="24"/>
            </w:rPr>
            <w:fldChar w:fldCharType="separate"/>
          </w:r>
          <w:r>
            <w:rPr>
              <w:rFonts w:hint="eastAsia" w:ascii="宋体" w:hAnsi="宋体" w:eastAsia="宋体" w:cs="宋体"/>
              <w:sz w:val="24"/>
              <w:szCs w:val="24"/>
            </w:rPr>
            <w:t>4.1 环境影响</w:t>
          </w:r>
          <w:r>
            <w:rPr>
              <w:rFonts w:hint="eastAsia" w:ascii="宋体" w:hAnsi="宋体" w:eastAsia="宋体" w:cs="宋体"/>
              <w:sz w:val="24"/>
              <w:szCs w:val="24"/>
              <w:lang w:eastAsia="zh-CN"/>
            </w:rPr>
            <w:t>报告表</w:t>
          </w:r>
          <w:r>
            <w:rPr>
              <w:rFonts w:hint="eastAsia" w:ascii="宋体" w:hAnsi="宋体" w:eastAsia="宋体" w:cs="宋体"/>
              <w:sz w:val="24"/>
              <w:szCs w:val="24"/>
            </w:rPr>
            <w:t>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_Toc18137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_Toc23960 </w:instrText>
          </w:r>
          <w:r>
            <w:rPr>
              <w:rFonts w:hint="eastAsia" w:ascii="宋体" w:hAnsi="宋体" w:eastAsia="宋体" w:cs="宋体"/>
              <w:sz w:val="24"/>
              <w:szCs w:val="24"/>
            </w:rPr>
            <w:fldChar w:fldCharType="separate"/>
          </w:r>
          <w:r>
            <w:rPr>
              <w:rFonts w:hint="eastAsia" w:ascii="宋体" w:hAnsi="宋体" w:eastAsia="宋体" w:cs="宋体"/>
              <w:sz w:val="24"/>
              <w:szCs w:val="24"/>
            </w:rPr>
            <w:t>4.2 环境影响</w:t>
          </w:r>
          <w:r>
            <w:rPr>
              <w:rFonts w:hint="eastAsia" w:ascii="宋体" w:hAnsi="宋体" w:eastAsia="宋体" w:cs="宋体"/>
              <w:sz w:val="24"/>
              <w:szCs w:val="24"/>
              <w:lang w:eastAsia="zh-CN"/>
            </w:rPr>
            <w:t>报告表</w:t>
          </w:r>
          <w:r>
            <w:rPr>
              <w:rFonts w:hint="eastAsia" w:ascii="宋体" w:hAnsi="宋体" w:eastAsia="宋体" w:cs="宋体"/>
              <w:sz w:val="24"/>
              <w:szCs w:val="24"/>
            </w:rPr>
            <w:t>的批复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_Toc23960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_Toc29941 </w:instrText>
          </w:r>
          <w:r>
            <w:rPr>
              <w:rFonts w:hint="eastAsia" w:ascii="宋体" w:hAnsi="宋体" w:eastAsia="宋体" w:cs="宋体"/>
              <w:sz w:val="24"/>
              <w:szCs w:val="24"/>
            </w:rPr>
            <w:fldChar w:fldCharType="separate"/>
          </w:r>
          <w:r>
            <w:rPr>
              <w:rFonts w:hint="eastAsia" w:ascii="宋体" w:hAnsi="宋体" w:eastAsia="宋体" w:cs="宋体"/>
              <w:sz w:val="24"/>
              <w:szCs w:val="24"/>
            </w:rPr>
            <w:t>4.3 环境保护措施落实情况调查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_Toc29941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_Toc29121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第五章 </w:t>
          </w:r>
          <w:r>
            <w:rPr>
              <w:rFonts w:hint="eastAsia" w:ascii="宋体" w:hAnsi="宋体" w:eastAsia="宋体" w:cs="宋体"/>
              <w:sz w:val="24"/>
              <w:szCs w:val="24"/>
            </w:rPr>
            <w:t>环境影响</w:t>
          </w:r>
          <w:r>
            <w:rPr>
              <w:rFonts w:hint="eastAsia" w:ascii="宋体" w:hAnsi="宋体" w:eastAsia="宋体" w:cs="宋体"/>
              <w:sz w:val="24"/>
              <w:szCs w:val="24"/>
              <w:lang w:val="en-US" w:eastAsia="zh-CN"/>
            </w:rPr>
            <w:t>调查分析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_Toc29121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_Toc29092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5.1生态环境影响调查与分析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_Toc29092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_Toc4693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5.2声环境影响调查与分析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_Toc4693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5.3环境空气影响调查与分析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_Toc1441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_Toc18511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5.4地表水环境影响调查与分析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_Toc18511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_Toc5250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5.5固体废物环境影响调查与分析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_Toc5250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_Toc30057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5.6总量污染物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_Toc30057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_Toc15268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第六章  </w:t>
          </w:r>
          <w:r>
            <w:rPr>
              <w:rFonts w:hint="eastAsia" w:ascii="宋体" w:hAnsi="宋体" w:eastAsia="宋体" w:cs="宋体"/>
              <w:sz w:val="24"/>
              <w:szCs w:val="24"/>
            </w:rPr>
            <w:t>环境管理与监控情况调查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_Toc15268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_Toc16847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6.1 “三同时”执行情况调查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_Toc16847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_Toc10665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6.2 环境管理机构状况查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_Toc10665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_Toc13371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6.3营运期环境管理状况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_Toc13371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_Toc31379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6.4环境监测计划落实情况调查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_Toc31379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_Toc12304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6.5调查结论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_Toc12304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_Toc1535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第七章  调查结论与建议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_Toc1535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_Toc12590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7.1调查结论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_Toc12590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0"/>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_Toc14363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7.2建议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_Toc14363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keepNext w:val="0"/>
            <w:keepLines w:val="0"/>
            <w:pageBreakBefore w:val="0"/>
            <w:widowControl/>
            <w:tabs>
              <w:tab w:val="right" w:leader="dot" w:pos="8792"/>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_Toc7066 </w:instrText>
          </w:r>
          <w:r>
            <w:rPr>
              <w:rFonts w:hint="eastAsia" w:ascii="宋体" w:hAnsi="宋体" w:eastAsia="宋体" w:cs="宋体"/>
              <w:sz w:val="24"/>
              <w:szCs w:val="24"/>
            </w:rPr>
            <w:fldChar w:fldCharType="separate"/>
          </w:r>
          <w:r>
            <w:rPr>
              <w:rFonts w:hint="eastAsia" w:ascii="宋体" w:hAnsi="宋体" w:eastAsia="宋体" w:cs="宋体"/>
              <w:sz w:val="24"/>
              <w:szCs w:val="24"/>
            </w:rPr>
            <w:t>建设项目工程竣工环境保护“三同时”验收登记表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_Toc7066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sz w:val="32"/>
              <w:szCs w:val="16"/>
            </w:rPr>
          </w:pPr>
          <w:r>
            <w:rPr>
              <w:rFonts w:hint="eastAsia" w:ascii="宋体" w:hAnsi="宋体" w:eastAsia="宋体" w:cs="宋体"/>
              <w:sz w:val="24"/>
              <w:szCs w:val="24"/>
            </w:rPr>
            <w:fldChar w:fldCharType="end"/>
          </w:r>
        </w:p>
      </w:sdtContent>
    </w:sdt>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b/>
          <w:sz w:val="24"/>
          <w:szCs w:val="36"/>
        </w:rPr>
      </w:pPr>
      <w:r>
        <w:rPr>
          <w:rFonts w:hint="eastAsia"/>
          <w:b/>
          <w:sz w:val="24"/>
          <w:szCs w:val="36"/>
        </w:rPr>
        <w:t>附图：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36"/>
        </w:rPr>
      </w:pPr>
      <w:r>
        <w:rPr>
          <w:rFonts w:hint="eastAsia"/>
          <w:sz w:val="24"/>
          <w:szCs w:val="36"/>
        </w:rPr>
        <w:t>附图1  现场调查图</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b/>
          <w:sz w:val="24"/>
          <w:szCs w:val="36"/>
        </w:rPr>
      </w:pPr>
      <w:r>
        <w:rPr>
          <w:rFonts w:hint="eastAsia"/>
          <w:b/>
          <w:sz w:val="24"/>
          <w:szCs w:val="36"/>
        </w:rPr>
        <w:t>附件：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36"/>
        </w:rPr>
      </w:pPr>
      <w:r>
        <w:rPr>
          <w:rFonts w:hint="eastAsia"/>
          <w:sz w:val="24"/>
          <w:szCs w:val="36"/>
        </w:rPr>
        <w:t>附件1  项目环境影响报告表的批复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eastAsia="宋体"/>
          <w:sz w:val="24"/>
          <w:szCs w:val="36"/>
          <w:lang w:val="en-US" w:eastAsia="zh-CN"/>
        </w:rPr>
      </w:pPr>
      <w:r>
        <w:rPr>
          <w:rFonts w:hint="eastAsia"/>
          <w:sz w:val="24"/>
          <w:szCs w:val="36"/>
        </w:rPr>
        <w:t>附件2</w:t>
      </w:r>
      <w:r>
        <w:rPr>
          <w:sz w:val="24"/>
          <w:szCs w:val="36"/>
        </w:rPr>
        <w:t xml:space="preserve">  </w:t>
      </w:r>
      <w:r>
        <w:rPr>
          <w:rFonts w:hint="eastAsia" w:eastAsia="宋体"/>
          <w:sz w:val="24"/>
          <w:szCs w:val="36"/>
          <w:lang w:val="en-US" w:eastAsia="zh-CN"/>
        </w:rPr>
        <w:t>关于变更业主的函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36"/>
        </w:rPr>
      </w:pPr>
      <w:r>
        <w:rPr>
          <w:rFonts w:hint="eastAsia"/>
          <w:sz w:val="24"/>
          <w:szCs w:val="36"/>
        </w:rPr>
        <w:t>附件3</w:t>
      </w:r>
      <w:r>
        <w:rPr>
          <w:sz w:val="24"/>
          <w:szCs w:val="36"/>
        </w:rPr>
        <w:t xml:space="preserve">  </w:t>
      </w:r>
      <w:r>
        <w:rPr>
          <w:rFonts w:hint="eastAsia" w:eastAsia="宋体"/>
          <w:sz w:val="24"/>
          <w:szCs w:val="36"/>
          <w:lang w:val="en-US" w:eastAsia="zh-CN"/>
        </w:rPr>
        <w:t>监测报告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36"/>
        </w:rPr>
      </w:pPr>
      <w:r>
        <w:rPr>
          <w:rFonts w:hint="eastAsia"/>
          <w:sz w:val="24"/>
          <w:szCs w:val="36"/>
        </w:rPr>
        <w:t>附件</w:t>
      </w:r>
      <w:r>
        <w:rPr>
          <w:rFonts w:hint="eastAsia" w:eastAsia="宋体"/>
          <w:sz w:val="24"/>
          <w:szCs w:val="36"/>
          <w:lang w:val="en-US" w:eastAsia="zh-CN"/>
        </w:rPr>
        <w:t>4</w:t>
      </w:r>
      <w:r>
        <w:rPr>
          <w:sz w:val="24"/>
          <w:szCs w:val="36"/>
        </w:rPr>
        <w:t xml:space="preserve">  </w:t>
      </w:r>
      <w:r>
        <w:rPr>
          <w:rFonts w:hint="eastAsia"/>
          <w:sz w:val="24"/>
          <w:szCs w:val="36"/>
        </w:rPr>
        <w:t>竣工环境保护验收组意见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36"/>
        </w:rPr>
      </w:pPr>
      <w:r>
        <w:rPr>
          <w:rFonts w:hint="eastAsia"/>
          <w:sz w:val="24"/>
          <w:szCs w:val="36"/>
        </w:rPr>
        <w:t>附件</w:t>
      </w:r>
      <w:r>
        <w:rPr>
          <w:rFonts w:hint="eastAsia" w:eastAsia="宋体"/>
          <w:sz w:val="24"/>
          <w:szCs w:val="36"/>
          <w:lang w:val="en-US" w:eastAsia="zh-CN"/>
        </w:rPr>
        <w:t>5</w:t>
      </w:r>
      <w:r>
        <w:rPr>
          <w:sz w:val="24"/>
          <w:szCs w:val="36"/>
        </w:rPr>
        <w:t xml:space="preserve">  </w:t>
      </w:r>
      <w:r>
        <w:rPr>
          <w:rFonts w:hint="eastAsia"/>
          <w:sz w:val="24"/>
          <w:szCs w:val="36"/>
        </w:rPr>
        <w:t>竣工环境保护会照片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sz w:val="24"/>
          <w:szCs w:val="36"/>
        </w:rPr>
      </w:pPr>
      <w:r>
        <w:rPr>
          <w:rFonts w:hint="eastAsia"/>
          <w:sz w:val="24"/>
          <w:szCs w:val="36"/>
        </w:rPr>
        <w:t>附件</w:t>
      </w:r>
      <w:r>
        <w:rPr>
          <w:rFonts w:hint="eastAsia" w:eastAsia="宋体"/>
          <w:sz w:val="24"/>
          <w:szCs w:val="36"/>
          <w:lang w:val="en-US" w:eastAsia="zh-CN"/>
        </w:rPr>
        <w:t>6</w:t>
      </w:r>
      <w:r>
        <w:rPr>
          <w:sz w:val="24"/>
          <w:szCs w:val="36"/>
        </w:rPr>
        <w:t xml:space="preserve">  </w:t>
      </w:r>
      <w:r>
        <w:rPr>
          <w:rFonts w:hint="eastAsia"/>
          <w:sz w:val="24"/>
          <w:szCs w:val="36"/>
        </w:rPr>
        <w:t>验收网络公示截图</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36"/>
        </w:rPr>
      </w:pPr>
      <w:r>
        <w:rPr>
          <w:rFonts w:hint="eastAsia"/>
          <w:sz w:val="24"/>
          <w:szCs w:val="36"/>
        </w:rPr>
        <w:t>附件</w:t>
      </w:r>
      <w:r>
        <w:rPr>
          <w:rFonts w:hint="eastAsia" w:eastAsia="宋体"/>
          <w:sz w:val="24"/>
          <w:szCs w:val="36"/>
          <w:lang w:val="en-US" w:eastAsia="zh-CN"/>
        </w:rPr>
        <w:t>7</w:t>
      </w:r>
      <w:r>
        <w:rPr>
          <w:rFonts w:hint="eastAsia"/>
          <w:sz w:val="24"/>
          <w:szCs w:val="36"/>
        </w:rPr>
        <w:t xml:space="preserve">  全国建设项目竣工环境保护验收信息系统录入截图</w:t>
      </w:r>
    </w:p>
    <w:p>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default" w:eastAsia="宋体"/>
          <w:sz w:val="32"/>
          <w:szCs w:val="16"/>
          <w:lang w:val="en-US" w:eastAsia="zh-CN"/>
        </w:rPr>
        <w:sectPr>
          <w:footerReference r:id="rId7" w:type="default"/>
          <w:pgSz w:w="11900" w:h="16840"/>
          <w:pgMar w:top="1046" w:right="1549" w:bottom="1345" w:left="1559" w:header="857" w:footer="1196" w:gutter="0"/>
          <w:pgNumType w:fmt="decimal" w:start="1"/>
          <w:cols w:space="720" w:num="1"/>
        </w:sectPr>
      </w:pPr>
    </w:p>
    <w:p>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sz w:val="32"/>
          <w:szCs w:val="16"/>
        </w:rPr>
      </w:pPr>
      <w:bookmarkStart w:id="0" w:name="_Toc32472"/>
      <w:r>
        <w:rPr>
          <w:rFonts w:hint="eastAsia"/>
          <w:sz w:val="32"/>
          <w:szCs w:val="16"/>
        </w:rPr>
        <w:t>第一章 前言</w:t>
      </w:r>
      <w:bookmarkEnd w:id="0"/>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G348 国道自贡段是自贡市梯次布局的工业集中发展带主轴线，连接了荣县、富顺县 及中心城区，沿线布置有国家高新技术产业园、沿滩工业园、荣县工业园、富顺晨光工 业园，是富荣产城融合带的重要交通走廊和主要承载体。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G348 国道自贡段前身为S305 省道自贡段，于2013年提升为国道。经过多年发展，自贡市城市区域发展较快，G348 国道（S305省道）自贡段已有大部分路段穿越城区，严重制约了自贡市城市发展规划，现有 G348 国道自贡段已不再适合承担国道过境的功能。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因此，G348 国道自贡段南移至城市用地边缘，作为过境通道。南移后原 G348 国道自贡段（S305 省道自贡段）将作为富荣产城融合带交通走廊中的主要道路，作为联系城市组团的城市道路。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原S305 省道自贡段交通设施不完善，行人横向干扰严重，交通拥塞现象时有发生， 使得全线的运行压力迅速增加，道路通行能力低，道路运行效率和服务水平下降，加上现在道路路面年久失修，路面破损严重。因此，该段道路继续进行提升改造。在此背景下，自贡市城市建设投资开发有限公司拟投资35422.24 万元实施自贡市富荣产城融合带基础设施建设项目（C、D 段），主要针对贡井区、自流井区内原 S305 省道自贡段进行改造，以及部分新建道路段（D 段 K9+700~K11+500 为新建道路）。项目实施后道路等级为城市主干路，道路长 24.653km（其中 C 段起于成佳航空园区，止于贡井区长土镇，长 8.74km；D 段起于贡井区长土镇，止于东环线交叉口，长 15.913km），道路红线宽度70m（其中 C 段车行道宽 30m，中央绿化带宽 2m；D 段主车道宽30m，辅道各宽 7.5m，中央绿化带宽 2m，主道和辅道分隔带宽 5m）。主要建设内容包括道路工程、桥涵工程、排水工程、照明工程、绿化工程、交通工程、综合管廊工程、道路红线内绿化工程、道路红线两侧生态修复工程及配套服务设施等。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项目建成后将优化自贡市中心城区市政基础设施，完善区域路网结构，提升当地综合交通运输能力，改善当地人民居住出行条件，促进当地经济的发展。</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2018年1月自贡市城市建设投资开发集团有限公司委托</w:t>
      </w:r>
      <w:r>
        <w:rPr>
          <w:rFonts w:hint="eastAsia" w:ascii="宋体" w:hAnsi="宋体" w:eastAsia="宋体" w:cs="宋体"/>
          <w:sz w:val="24"/>
          <w:szCs w:val="24"/>
        </w:rPr>
        <w:t>宇寰环保科技（上海）有限公司</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了</w:t>
      </w:r>
      <w:r>
        <w:rPr>
          <w:rFonts w:hint="eastAsia" w:ascii="宋体" w:hAnsi="宋体" w:eastAsia="宋体" w:cs="宋体"/>
          <w:sz w:val="24"/>
          <w:szCs w:val="24"/>
        </w:rPr>
        <w:t>《自贡市富荣产城融合带基础设施建设项目（C、D 段）环境影响报告表(报批本)》；自贡市环境保护局于 2018年02月9日以自环准许〔2018〕8号文批复</w:t>
      </w:r>
      <w:r>
        <w:rPr>
          <w:rFonts w:hint="eastAsia" w:ascii="宋体" w:hAnsi="宋体" w:eastAsia="宋体" w:cs="宋体"/>
          <w:sz w:val="24"/>
          <w:szCs w:val="24"/>
          <w:lang w:eastAsia="zh-CN"/>
        </w:rPr>
        <w:t>，</w:t>
      </w:r>
      <w:r>
        <w:rPr>
          <w:rFonts w:hint="eastAsia" w:ascii="宋体" w:hAnsi="宋体" w:eastAsia="宋体" w:cs="宋体"/>
          <w:sz w:val="24"/>
          <w:szCs w:val="24"/>
        </w:rPr>
        <w:t>该道路工程环境影响报告表根据上述资料，结合道路施工实际情况，本次验收内容及范围为自贡市富荣产城融合带基础设施建设项目（C、D 段）及其附属设施。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2019年11月6日自贡市发展和改革委会员出具的关于变更自贡市富荣产城融合带基础设施建设项目(C、D段)工程项目业主的函（自发改函〔2019]63号)可知，本项目业主单位由自贡市城市建设投资开发集团有限公司变更为中交自贡城市建设发展有限公司，本次验收由中交自贡城市建设发展有限公司组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根据验收现场调查核实，“自贡市富荣产城融合带基础设施建设项目（C、D 段）”于 2021年10月开工建设，现已按照批复和环评要求建成完工，故开展本次竣工环境保护验收调查。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按照国环规环评[2017]4号《建设项目竣工环境保护验收暂行办法》的要求以及环境保护设施与主体工程同时设计、同时施工、同时投入使用的"三同时制 度"的要求，需调查该道路工程在施工、试运营期间对环境影响报告表提出的、 以及批复要求的环保措施、设施的落实情况，调查分析工程在建设和试营运期间 对环境造成的影响以及可能存在的潜在影响，提出补救和减缓措施，全面做好环境保护工作，为道路工程的竣工环境保护验收提供依据，本道路工程建设单位委 托四川吉之源科技发展有限公司承担工程竣工环境保护验收调查工作。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我司组成了工程竣工环境保护验收调查组，在研究了该道路工程环境报告表和设计文件后，多次对现场进行了实地踏勘，对道路沿线的环境敏感点、道路建设影响区域的生态恢复状况、水土保持情况、环保措施等方面进行了重点调查，我司委托四川锡水金山环保科技有限公司进行了验收监测，在此基础上，编制完成了本道路工程的验收调查报告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b/>
          <w:sz w:val="32"/>
          <w:szCs w:val="16"/>
        </w:rPr>
      </w:pPr>
      <w:bookmarkStart w:id="1" w:name="_Toc100"/>
      <w:r>
        <w:rPr>
          <w:rFonts w:hint="eastAsia"/>
          <w:b/>
          <w:sz w:val="32"/>
          <w:szCs w:val="16"/>
        </w:rPr>
        <w:t>第二章 总论</w:t>
      </w:r>
      <w:bookmarkEnd w:id="1"/>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sz w:val="28"/>
          <w:szCs w:val="20"/>
        </w:rPr>
      </w:pPr>
      <w:bookmarkStart w:id="2" w:name="_Toc31546"/>
      <w:r>
        <w:rPr>
          <w:rFonts w:hint="eastAsia"/>
          <w:sz w:val="28"/>
          <w:szCs w:val="20"/>
        </w:rPr>
        <w:t>2.1 调查目的及原则</w:t>
      </w:r>
      <w:bookmarkEnd w:id="2"/>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ascii="宋体" w:hAnsi="宋体" w:eastAsia="宋体" w:cs="宋体"/>
          <w:sz w:val="24"/>
          <w:szCs w:val="24"/>
        </w:rPr>
      </w:pPr>
      <w:r>
        <w:rPr>
          <w:rFonts w:hint="eastAsia"/>
          <w:sz w:val="24"/>
          <w:szCs w:val="18"/>
        </w:rPr>
        <w:t>2.1.1 调查目的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对自贡市富荣产城融合带基础设施建设项目（C、D段）进行环境影响调查的目的如下：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(1)调查工程在施工、运行和管理等方面关于环境影响报告表、工程设计提出的环保措施落实情况，以及对环保行政主管部门批复要求的落实情况。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(2)调查工程在设计、施工、运行、管理等方面落实环境影响报告表所提环保 措施的执行情况以及存在的问题。重点调查工程在声环境、生态环境、大气环境 等方面所采取的环境保护与污染控制措施，分析其有效性，对不完善的措施提出改进意见，对工程其他实际环境问题及潜在的环境影响，提出环境保护补救措施。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(3)对道路工程环境保护设施建设、管理、运行及其环境治理效果给出科学客 观的评估，并提出解决方法或建议，消除或减轻工程对环境造成的负面影响，促使经济效益、社会效益与环境效益的统一。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)根据工程环境影响调查，结合现状监测结果，客观、公正地从技术经济角度上论证是否符合环境保护竣工验收条件。</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b/>
          <w:sz w:val="24"/>
          <w:szCs w:val="18"/>
        </w:rPr>
      </w:pPr>
      <w:r>
        <w:rPr>
          <w:rFonts w:hint="eastAsia"/>
          <w:b/>
          <w:sz w:val="24"/>
          <w:szCs w:val="18"/>
        </w:rPr>
        <w:t>2.1.2 调查原则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本项目竣工环境保护验收调查坚持以下原则：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(1)认真贯彻国家与地方的环境保护法律、法规及有关规定，调查、监测方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法符合国家有关规范要求；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(2)客观、公正、科学、实用；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(3)污染防治与生态保护并重；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(4)充分利用已有资料与实地踏勘、现场调研、现状监测相结合；</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(5)本项目施工期已结束并已运营，重点调查项目营运期的环境影响。</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ascii="宋体" w:hAnsi="宋体" w:eastAsia="宋体" w:cs="宋体"/>
          <w:sz w:val="24"/>
          <w:szCs w:val="24"/>
        </w:rPr>
      </w:pPr>
      <w:bookmarkStart w:id="3" w:name="_Toc9721"/>
      <w:r>
        <w:rPr>
          <w:rFonts w:hint="eastAsia"/>
          <w:b/>
          <w:sz w:val="28"/>
          <w:szCs w:val="20"/>
        </w:rPr>
        <w:t>2.2编制依据</w:t>
      </w:r>
      <w:bookmarkEnd w:id="3"/>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ascii="宋体" w:hAnsi="宋体" w:eastAsia="宋体" w:cs="宋体"/>
          <w:sz w:val="24"/>
          <w:szCs w:val="24"/>
        </w:rPr>
      </w:pPr>
      <w:r>
        <w:rPr>
          <w:rFonts w:hint="eastAsia"/>
          <w:b/>
          <w:sz w:val="24"/>
          <w:szCs w:val="18"/>
        </w:rPr>
        <w:t>2.2.1 法律、法规和部门规章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（1）《中华人民共和国环境保护法》（2015.1.1施行）；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（2）《中华人民共和国环境影响评价法》（2018.12.29修订）；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（3）《中华人民共和国大气污染防治法》（2018.10.6施行）；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（4）《中华人民共和国水污染防治法》（2018.1.1施行）；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（5）《中华人民共和国环境噪声污染防治法》（2018.12.29修订）；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（6）《中华人民共和国固体废物污染环境防治法》（2020.9.1施行）；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（7）《中华人民共和国清洁生产促进法》（2012.7.1施行）；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（8）《建设项目环境保护管理条例》（2021.1.1施行）；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（9）《中华人民共和国水土保持法》（2011年3月1日起施行）；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（10）《中华人民共和国土地管理法》（2019.8.26修订）；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（11）《中华人民共和国野生动物保护法》（2016年修订，2017年1月1日起施行）；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（12）《中华人民共和国清洁生产促进法》（2012年修订）；</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（13）《中华人民共和国矿产资源法》（2009年修订，2009年8月27日起施行）；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（14）《关于印发四川省大气污染防治行动计划实施细则2017年度实施计划的通知》（川办函〔2017〕102号）；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（15）《四川省环境保护条例》，2017年9月22日四川省十二届人大常委会三十六次会议通过，2018年1月1日实施；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（16）《四川省人民政府关于印发四川省生态保护红线方案的通知》（川府发〔2018〕24号）。</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ascii="宋体" w:hAnsi="宋体" w:eastAsia="宋体" w:cs="宋体"/>
          <w:sz w:val="24"/>
          <w:szCs w:val="24"/>
        </w:rPr>
      </w:pPr>
      <w:r>
        <w:rPr>
          <w:rFonts w:hint="eastAsia"/>
          <w:b/>
          <w:sz w:val="24"/>
          <w:szCs w:val="18"/>
        </w:rPr>
        <w:t>2.2.2 技术规范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（1）《建设项目竣工环境保护验收暂行办法》（2017年11月20日起实施）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（2）《关于建设项目环境保护设施竣工验收监测管理有关问题的通知》及其附件《关于建设项目环境保护设施竣工验收监测技术要求》（国家环保总局  环发[2000]38号）；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（3）《建设项目竣工环境保护验收技术规范-生态影响类》（HJ/T394-2007，2008.2.1）；</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（4）《建设项目竣工环境保护验收技术规范</w:t>
      </w:r>
      <w:r>
        <w:rPr>
          <w:rFonts w:hint="eastAsia" w:ascii="宋体" w:hAnsi="宋体" w:eastAsia="宋体" w:cs="宋体"/>
          <w:sz w:val="24"/>
          <w:szCs w:val="24"/>
        </w:rPr>
        <w:tab/>
      </w:r>
      <w:r>
        <w:rPr>
          <w:rFonts w:hint="eastAsia" w:ascii="宋体" w:hAnsi="宋体" w:eastAsia="宋体" w:cs="宋体"/>
          <w:sz w:val="24"/>
          <w:szCs w:val="24"/>
        </w:rPr>
        <w:t>公路》（HJ552-2010）；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（5）《关于印发环评管理中部分行业建设项目重大变动清单的通知》（环境保护部 环办[2015]52号，215.6.4）</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（6）关于印发《污染影响类建设项目重大变动清单（试行）》的通知（生态环境部办公厅 环办环评函〔2020〕688号），2020.12.6）；</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（7） 四川省环境保护厅办公室关于继续开展建设项目竣工环境保护验收（噪声和固体废物）工作的通知（川环办发【2018】26号）</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ascii="宋体" w:hAnsi="宋体" w:eastAsia="宋体" w:cs="宋体"/>
          <w:sz w:val="24"/>
          <w:szCs w:val="24"/>
        </w:rPr>
      </w:pPr>
      <w:r>
        <w:rPr>
          <w:rFonts w:hint="eastAsia"/>
          <w:b/>
          <w:sz w:val="24"/>
          <w:szCs w:val="18"/>
        </w:rPr>
        <w:t>2.2.3 其他相关资料、文件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(1)《自贡市富荣产城融合带基础设施建设项目（C、D段）项目环境影响报告表》，寰环保科技（上海）有限公司  2018年1月。</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(2)自贡市生态环境局关于“自贡市富荣产城融合带基础设施建设项目（C、D段）环境影响报告表”准予行政许可决定书（自环准许〔2018〕8号，2018.2.9）。</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ascii="宋体" w:hAnsi="宋体" w:eastAsia="宋体" w:cs="宋体"/>
          <w:sz w:val="24"/>
          <w:szCs w:val="24"/>
        </w:rPr>
      </w:pPr>
      <w:bookmarkStart w:id="4" w:name="_Toc18154"/>
      <w:r>
        <w:rPr>
          <w:rFonts w:hint="eastAsia"/>
          <w:b/>
          <w:sz w:val="28"/>
          <w:szCs w:val="20"/>
        </w:rPr>
        <w:t>2.3 调查方法</w:t>
      </w:r>
      <w:bookmarkEnd w:id="4"/>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(1)原则上按照《建设项目竣工环境保护验收管理办法》、 《建设项目竣工环  境保护验收技术规范——公路》中的要求执行，并参照《环境影响评价技术导则》规定的方法。</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(2)环境影响分析采用现场调查、现场实测以及已有的资料分析相结合的方法；工程建设期情况调查以文件资料分析为主，试营运期情况调查以现场调查、现场监测和资料分析的方法为主。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(3)线路调查采用“以点为主、点段结合、反馈全线”的方法。</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(4)环境保护措施可行性分析采用改进已有措施与补救措施相结合的方法。</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ascii="Arial"/>
          <w:sz w:val="21"/>
        </w:rPr>
      </w:pPr>
      <w:bookmarkStart w:id="5" w:name="_Toc26550"/>
      <w:r>
        <w:rPr>
          <w:rFonts w:hint="eastAsia"/>
          <w:b/>
          <w:sz w:val="28"/>
          <w:szCs w:val="20"/>
        </w:rPr>
        <w:t>2.4 调查范围和验收标准</w:t>
      </w:r>
      <w:bookmarkEnd w:id="5"/>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hint="eastAsia"/>
          <w:b/>
          <w:sz w:val="24"/>
          <w:szCs w:val="18"/>
        </w:rPr>
      </w:pPr>
      <w:r>
        <w:rPr>
          <w:rFonts w:hint="eastAsia"/>
          <w:b/>
          <w:sz w:val="24"/>
          <w:szCs w:val="18"/>
        </w:rPr>
        <w:t>2.4.1 调查范围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调查范围原则上与环评报告评价范围一致。本次竣工验收调查范围和内容如下：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(1)生态恢复与水土保持调查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①调查范围：项目施工期临时占地、道路沿线两侧生态恢复与水土保持措施。如绿化工程、挡土墙防护工程实施情况。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②调查内容：工程占地类型；施工期临时占地类型、临时占地是否恢复原有土地使用功能；水保绿化工程、防护工程是否完善；项目建设对绿化植被自然景观等的影响；扰动区域生态恢复情况与水土流失情况。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(2)水环境调查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①调查范围：项目路段沿线。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②调查内容：地表径流收集、排放情况。调查雨水收集系统、排水沟是否畅通，废水排放去向等内容。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(3)大气环境调查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① 调查范围：道路中心线两侧200m 范围内敏感区环境空气质量。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②调查内容：道路两侧200m 范围内</w:t>
      </w:r>
      <w:r>
        <w:rPr>
          <w:rFonts w:hint="eastAsia" w:ascii="宋体" w:hAnsi="宋体" w:eastAsia="宋体" w:cs="宋体"/>
          <w:color w:val="auto"/>
          <w:spacing w:val="-4"/>
          <w:sz w:val="24"/>
          <w:szCs w:val="24"/>
        </w:rPr>
        <w:t>长土镇场镇居民</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黄角村农户</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石牛村农户</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金鱼村农户</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南湖生态城小区</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华景苑小区</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正黄翡翠小区</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汇东实验学校</w:t>
      </w:r>
      <w:r>
        <w:rPr>
          <w:rFonts w:hint="eastAsia" w:ascii="宋体" w:hAnsi="宋体" w:eastAsia="宋体" w:cs="宋体"/>
          <w:spacing w:val="-4"/>
          <w:sz w:val="24"/>
          <w:szCs w:val="24"/>
        </w:rPr>
        <w:t>等敏感目标</w:t>
      </w:r>
      <w:r>
        <w:rPr>
          <w:rFonts w:hint="eastAsia" w:ascii="宋体" w:hAnsi="宋体" w:eastAsia="宋体" w:cs="宋体"/>
          <w:spacing w:val="-4"/>
          <w:sz w:val="24"/>
          <w:szCs w:val="24"/>
          <w:lang w:val="en-US" w:eastAsia="zh-CN"/>
        </w:rPr>
        <w:t>分布情况，调查试运营期环境空气质量现状</w:t>
      </w:r>
      <w:r>
        <w:rPr>
          <w:rFonts w:hint="eastAsia" w:ascii="宋体" w:hAnsi="宋体" w:eastAsia="宋体" w:cs="宋体"/>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(4)声环境调查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①调查范围：道路中心线两侧200m 范围内声环境敏感点和道路沿线第一排建筑物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②调查内容：声环境敏感点分布情况；道路横向交通噪声衰减情况。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③调查因子：等效连续A声级。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(5)社会环境影响调查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①调查范围：项目沿线两侧区域。调查项目建设对区域产生的社会影响和经济影响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lang w:eastAsia="zh-CN"/>
        </w:rPr>
      </w:pPr>
      <w:r>
        <w:rPr>
          <w:rFonts w:hint="eastAsia" w:ascii="宋体" w:hAnsi="宋体" w:eastAsia="宋体" w:cs="宋体"/>
          <w:spacing w:val="-4"/>
          <w:sz w:val="24"/>
          <w:szCs w:val="24"/>
        </w:rPr>
        <w:t>②调查内容：项目建设对区域经济的发展、交通的改善以及工程营运对周边群众的生活影响等，公路运营带来的其它社会影响</w:t>
      </w:r>
      <w:r>
        <w:rPr>
          <w:rFonts w:hint="eastAsia" w:ascii="宋体" w:hAnsi="宋体" w:eastAsia="宋体" w:cs="宋体"/>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w:t>
      </w: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)其它环保措施调查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8"/>
          <w:szCs w:val="28"/>
        </w:rPr>
      </w:pPr>
      <w:r>
        <w:rPr>
          <w:rFonts w:hint="eastAsia" w:ascii="宋体" w:hAnsi="宋体" w:eastAsia="宋体" w:cs="宋体"/>
          <w:spacing w:val="-4"/>
          <w:sz w:val="24"/>
          <w:szCs w:val="24"/>
        </w:rPr>
        <w:t>环保机构的设置情况，环境管理和监测制度的落实情况，环境监测计划的制定、实施情况，风险应急措施落实情况。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rPr>
        <w:t>调查范围原则上与环境影响评价文件的范围一致，当工程实际建设内容发生变更或环境影响评价文件未能全面反映出工程建设的实际生态影响和其它环境影响时，根据工程实际的变动情况以及环境影响的实际情况，结合现场踏勘情况对调查范围进行有针对性的调</w:t>
      </w:r>
      <w:r>
        <w:rPr>
          <w:rFonts w:hint="eastAsia" w:ascii="宋体" w:hAnsi="宋体" w:eastAsia="宋体" w:cs="宋体"/>
          <w:spacing w:val="-4"/>
          <w:sz w:val="24"/>
          <w:szCs w:val="24"/>
          <w:lang w:val="en-US" w:eastAsia="zh-CN"/>
        </w:rPr>
        <w:t>整。</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ascii="Arial"/>
          <w:color w:val="FF0000"/>
          <w:sz w:val="21"/>
        </w:rPr>
      </w:pPr>
      <w:r>
        <w:rPr>
          <w:rFonts w:hint="eastAsia"/>
          <w:b/>
          <w:sz w:val="24"/>
          <w:szCs w:val="18"/>
        </w:rPr>
        <w:t>2.4.2验收标准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根据HJ552-2010《建设项目竣工环境保护验收技术规范》,本工程竣工环境保护验收调查原则上采用环评</w:t>
      </w:r>
      <w:r>
        <w:rPr>
          <w:rFonts w:hint="eastAsia" w:ascii="宋体" w:hAnsi="宋体" w:eastAsia="宋体" w:cs="宋体"/>
          <w:spacing w:val="-4"/>
          <w:sz w:val="24"/>
          <w:szCs w:val="24"/>
          <w:lang w:eastAsia="zh-CN"/>
        </w:rPr>
        <w:t>报告表</w:t>
      </w:r>
      <w:r>
        <w:rPr>
          <w:rFonts w:hint="eastAsia" w:ascii="宋体" w:hAnsi="宋体" w:eastAsia="宋体" w:cs="宋体"/>
          <w:spacing w:val="-4"/>
          <w:sz w:val="24"/>
          <w:szCs w:val="24"/>
        </w:rPr>
        <w:t>中所采用的标准进行验收。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根据《</w:t>
      </w:r>
      <w:r>
        <w:rPr>
          <w:rFonts w:hint="eastAsia" w:ascii="宋体" w:hAnsi="宋体" w:eastAsia="宋体" w:cs="宋体"/>
          <w:spacing w:val="-4"/>
          <w:sz w:val="24"/>
          <w:szCs w:val="24"/>
          <w:lang w:eastAsia="zh-CN"/>
        </w:rPr>
        <w:t>自贡市富荣产城融合带基础设施建设项目（C、D段</w:t>
      </w:r>
      <w:r>
        <w:rPr>
          <w:rFonts w:hint="eastAsia" w:ascii="宋体" w:hAnsi="宋体" w:eastAsia="宋体" w:cs="宋体"/>
          <w:spacing w:val="-4"/>
          <w:sz w:val="24"/>
          <w:szCs w:val="24"/>
        </w:rPr>
        <w:t>项目环境影响</w:t>
      </w:r>
      <w:r>
        <w:rPr>
          <w:rFonts w:hint="eastAsia" w:ascii="宋体" w:hAnsi="宋体" w:eastAsia="宋体" w:cs="宋体"/>
          <w:spacing w:val="-4"/>
          <w:sz w:val="24"/>
          <w:szCs w:val="24"/>
          <w:lang w:eastAsia="zh-CN"/>
        </w:rPr>
        <w:t>报告表</w:t>
      </w:r>
      <w:r>
        <w:rPr>
          <w:rFonts w:hint="eastAsia" w:ascii="宋体" w:hAnsi="宋体" w:eastAsia="宋体" w:cs="宋体"/>
          <w:spacing w:val="-4"/>
          <w:sz w:val="24"/>
          <w:szCs w:val="24"/>
        </w:rPr>
        <w:t>》及《自贡市生态环境局关于“自贡市富荣产城融合带基础设施建设项目（C、D段）环境影响报告表”准予行政许可决定书（自环准许〔2018〕8号,确定本道路工程验收标准如下(1)声环境标准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①质量标准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 xml:space="preserve">本项目道路等级为城市主干道，道路两侧交通干线边界线（道路车行道与人行道 </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交界线）外</w:t>
      </w:r>
      <w:r>
        <w:rPr>
          <w:rFonts w:hint="default" w:ascii="宋体" w:hAnsi="宋体" w:eastAsia="宋体" w:cs="宋体"/>
          <w:spacing w:val="-4"/>
          <w:sz w:val="24"/>
          <w:szCs w:val="24"/>
          <w:lang w:val="en-US" w:eastAsia="zh-CN"/>
        </w:rPr>
        <w:t xml:space="preserve">40m </w:t>
      </w:r>
      <w:r>
        <w:rPr>
          <w:rFonts w:hint="eastAsia" w:ascii="宋体" w:hAnsi="宋体" w:eastAsia="宋体" w:cs="宋体"/>
          <w:spacing w:val="-4"/>
          <w:sz w:val="24"/>
          <w:szCs w:val="24"/>
          <w:lang w:val="en-US" w:eastAsia="zh-CN"/>
        </w:rPr>
        <w:t xml:space="preserve">以内的范围执行 </w:t>
      </w:r>
      <w:r>
        <w:rPr>
          <w:rFonts w:hint="default" w:ascii="宋体" w:hAnsi="宋体" w:eastAsia="宋体" w:cs="宋体"/>
          <w:spacing w:val="-4"/>
          <w:sz w:val="24"/>
          <w:szCs w:val="24"/>
          <w:lang w:val="en-US" w:eastAsia="zh-CN"/>
        </w:rPr>
        <w:t xml:space="preserve">4a </w:t>
      </w:r>
      <w:r>
        <w:rPr>
          <w:rFonts w:hint="eastAsia" w:ascii="宋体" w:hAnsi="宋体" w:eastAsia="宋体" w:cs="宋体"/>
          <w:spacing w:val="-4"/>
          <w:sz w:val="24"/>
          <w:szCs w:val="24"/>
          <w:lang w:val="en-US" w:eastAsia="zh-CN"/>
        </w:rPr>
        <w:t>类标准；评价区域内学校、医院和道路两侧交通干线边界线外</w:t>
      </w:r>
      <w:r>
        <w:rPr>
          <w:rFonts w:hint="default" w:ascii="宋体" w:hAnsi="宋体" w:eastAsia="宋体" w:cs="宋体"/>
          <w:spacing w:val="-4"/>
          <w:sz w:val="24"/>
          <w:szCs w:val="24"/>
          <w:lang w:val="en-US" w:eastAsia="zh-CN"/>
        </w:rPr>
        <w:t xml:space="preserve">40m </w:t>
      </w:r>
      <w:r>
        <w:rPr>
          <w:rFonts w:hint="eastAsia" w:ascii="宋体" w:hAnsi="宋体" w:eastAsia="宋体" w:cs="宋体"/>
          <w:spacing w:val="-4"/>
          <w:sz w:val="24"/>
          <w:szCs w:val="24"/>
          <w:lang w:val="en-US" w:eastAsia="zh-CN"/>
        </w:rPr>
        <w:t xml:space="preserve">范围以外执行 </w:t>
      </w:r>
      <w:r>
        <w:rPr>
          <w:rFonts w:hint="default" w:ascii="宋体" w:hAnsi="宋体" w:eastAsia="宋体" w:cs="宋体"/>
          <w:spacing w:val="-4"/>
          <w:sz w:val="24"/>
          <w:szCs w:val="24"/>
          <w:lang w:val="en-US" w:eastAsia="zh-CN"/>
        </w:rPr>
        <w:t xml:space="preserve">2 </w:t>
      </w:r>
      <w:r>
        <w:rPr>
          <w:rFonts w:hint="eastAsia" w:ascii="宋体" w:hAnsi="宋体" w:eastAsia="宋体" w:cs="宋体"/>
          <w:spacing w:val="-4"/>
          <w:sz w:val="24"/>
          <w:szCs w:val="24"/>
          <w:lang w:val="en-US" w:eastAsia="zh-CN"/>
        </w:rPr>
        <w:t>类标准</w:t>
      </w:r>
      <w:r>
        <w:rPr>
          <w:rFonts w:hint="eastAsia" w:ascii="宋体" w:hAnsi="宋体" w:eastAsia="宋体" w:cs="宋体"/>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表2.4-1   《声环境质量标准》（</w:t>
      </w:r>
      <w:r>
        <w:rPr>
          <w:rFonts w:hint="default" w:ascii="宋体" w:hAnsi="宋体" w:eastAsia="宋体" w:cs="宋体"/>
          <w:spacing w:val="-4"/>
          <w:sz w:val="24"/>
          <w:szCs w:val="24"/>
          <w:lang w:val="en-US" w:eastAsia="zh-CN"/>
        </w:rPr>
        <w:t>GB3096-2008</w:t>
      </w:r>
      <w:r>
        <w:rPr>
          <w:rFonts w:hint="eastAsia" w:ascii="宋体" w:hAnsi="宋体" w:eastAsia="宋体" w:cs="宋体"/>
          <w:spacing w:val="-4"/>
          <w:sz w:val="24"/>
          <w:szCs w:val="24"/>
          <w:lang w:val="en-US" w:eastAsia="zh-CN"/>
        </w:rPr>
        <w:t>）中的标准限值</w:t>
      </w:r>
      <w:r>
        <w:rPr>
          <w:rFonts w:hint="default" w:ascii="宋体" w:hAnsi="宋体" w:eastAsia="宋体" w:cs="宋体"/>
          <w:spacing w:val="-4"/>
          <w:sz w:val="24"/>
          <w:szCs w:val="24"/>
          <w:lang w:val="en-US" w:eastAsia="zh-CN"/>
        </w:rPr>
        <w:t xml:space="preserve"> </w:t>
      </w:r>
      <w:r>
        <w:rPr>
          <w:rFonts w:hint="eastAsia" w:ascii="宋体" w:hAnsi="宋体" w:eastAsia="宋体" w:cs="宋体"/>
          <w:spacing w:val="-4"/>
          <w:sz w:val="24"/>
          <w:szCs w:val="24"/>
          <w:lang w:val="en-US" w:eastAsia="zh-CN"/>
        </w:rPr>
        <w:t>单位：</w:t>
      </w:r>
      <w:r>
        <w:rPr>
          <w:rFonts w:hint="default" w:ascii="宋体" w:hAnsi="宋体" w:eastAsia="宋体" w:cs="宋体"/>
          <w:spacing w:val="-4"/>
          <w:sz w:val="24"/>
          <w:szCs w:val="24"/>
          <w:lang w:val="en-US" w:eastAsia="zh-CN"/>
        </w:rPr>
        <w:t>dB</w:t>
      </w:r>
      <w:r>
        <w:rPr>
          <w:rFonts w:hint="eastAsia" w:ascii="宋体" w:hAnsi="宋体" w:eastAsia="宋体" w:cs="宋体"/>
          <w:spacing w:val="-4"/>
          <w:sz w:val="24"/>
          <w:szCs w:val="24"/>
          <w:lang w:val="en-US" w:eastAsia="zh-CN"/>
        </w:rPr>
        <w:t>（</w:t>
      </w:r>
      <w:r>
        <w:rPr>
          <w:rFonts w:hint="default" w:ascii="宋体" w:hAnsi="宋体" w:eastAsia="宋体" w:cs="宋体"/>
          <w:spacing w:val="-4"/>
          <w:sz w:val="24"/>
          <w:szCs w:val="24"/>
          <w:lang w:val="en-US" w:eastAsia="zh-CN"/>
        </w:rPr>
        <w:t>A</w:t>
      </w:r>
      <w:r>
        <w:rPr>
          <w:rFonts w:hint="eastAsia" w:ascii="宋体" w:hAnsi="宋体" w:eastAsia="宋体" w:cs="宋体"/>
          <w:spacing w:val="-4"/>
          <w:sz w:val="24"/>
          <w:szCs w:val="24"/>
          <w:lang w:val="en-US" w:eastAsia="zh-CN"/>
        </w:rPr>
        <w:t>）</w:t>
      </w:r>
    </w:p>
    <w:tbl>
      <w:tblPr>
        <w:tblStyle w:val="17"/>
        <w:tblW w:w="85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30"/>
        <w:gridCol w:w="2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840" w:type="dxa"/>
            <w:tcBorders>
              <w:left w:val="nil"/>
            </w:tcBorders>
            <w:vAlign w:val="top"/>
          </w:tcPr>
          <w:p>
            <w:pPr>
              <w:spacing w:before="103" w:line="219" w:lineRule="auto"/>
              <w:ind w:left="1219"/>
              <w:rPr>
                <w:rFonts w:ascii="宋体" w:hAnsi="宋体" w:eastAsia="宋体" w:cs="宋体"/>
                <w:color w:val="auto"/>
                <w:sz w:val="21"/>
                <w:szCs w:val="21"/>
              </w:rPr>
            </w:pPr>
            <w:r>
              <w:rPr>
                <w:rFonts w:ascii="宋体" w:hAnsi="宋体" w:eastAsia="宋体" w:cs="宋体"/>
                <w:color w:val="auto"/>
                <w:spacing w:val="8"/>
                <w:sz w:val="21"/>
                <w:szCs w:val="21"/>
              </w:rPr>
              <w:t>类别</w:t>
            </w:r>
          </w:p>
        </w:tc>
        <w:tc>
          <w:tcPr>
            <w:tcW w:w="2830" w:type="dxa"/>
            <w:vAlign w:val="top"/>
          </w:tcPr>
          <w:p>
            <w:pPr>
              <w:spacing w:before="106" w:line="222" w:lineRule="auto"/>
              <w:ind w:left="1204"/>
              <w:rPr>
                <w:rFonts w:ascii="宋体" w:hAnsi="宋体" w:eastAsia="宋体" w:cs="宋体"/>
                <w:color w:val="auto"/>
                <w:sz w:val="21"/>
                <w:szCs w:val="21"/>
              </w:rPr>
            </w:pPr>
            <w:r>
              <w:rPr>
                <w:rFonts w:ascii="宋体" w:hAnsi="宋体" w:eastAsia="宋体" w:cs="宋体"/>
                <w:color w:val="auto"/>
                <w:spacing w:val="9"/>
                <w:sz w:val="21"/>
                <w:szCs w:val="21"/>
              </w:rPr>
              <w:t>昼间</w:t>
            </w:r>
          </w:p>
        </w:tc>
        <w:tc>
          <w:tcPr>
            <w:tcW w:w="2859" w:type="dxa"/>
            <w:tcBorders>
              <w:right w:val="nil"/>
            </w:tcBorders>
            <w:vAlign w:val="top"/>
          </w:tcPr>
          <w:p>
            <w:pPr>
              <w:spacing w:before="103" w:line="219" w:lineRule="auto"/>
              <w:ind w:left="1224"/>
              <w:rPr>
                <w:rFonts w:ascii="宋体" w:hAnsi="宋体" w:eastAsia="宋体" w:cs="宋体"/>
                <w:color w:val="auto"/>
                <w:sz w:val="21"/>
                <w:szCs w:val="21"/>
              </w:rPr>
            </w:pPr>
            <w:r>
              <w:rPr>
                <w:rFonts w:ascii="宋体" w:hAnsi="宋体" w:eastAsia="宋体" w:cs="宋体"/>
                <w:color w:val="auto"/>
                <w:spacing w:val="9"/>
                <w:sz w:val="21"/>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40" w:type="dxa"/>
            <w:tcBorders>
              <w:left w:val="nil"/>
            </w:tcBorders>
            <w:vAlign w:val="top"/>
          </w:tcPr>
          <w:p>
            <w:pPr>
              <w:spacing w:before="153" w:line="183" w:lineRule="auto"/>
              <w:ind w:left="1369"/>
              <w:rPr>
                <w:rFonts w:ascii="宋体" w:hAnsi="宋体" w:eastAsia="宋体" w:cs="宋体"/>
                <w:color w:val="auto"/>
                <w:sz w:val="21"/>
                <w:szCs w:val="21"/>
              </w:rPr>
            </w:pPr>
            <w:r>
              <w:rPr>
                <w:rFonts w:ascii="宋体" w:hAnsi="宋体" w:eastAsia="宋体" w:cs="宋体"/>
                <w:color w:val="auto"/>
                <w:sz w:val="21"/>
                <w:szCs w:val="21"/>
              </w:rPr>
              <w:t>2</w:t>
            </w:r>
          </w:p>
        </w:tc>
        <w:tc>
          <w:tcPr>
            <w:tcW w:w="2830" w:type="dxa"/>
            <w:vAlign w:val="top"/>
          </w:tcPr>
          <w:p>
            <w:pPr>
              <w:spacing w:before="153" w:line="183" w:lineRule="auto"/>
              <w:ind w:left="1305"/>
              <w:rPr>
                <w:rFonts w:ascii="宋体" w:hAnsi="宋体" w:eastAsia="宋体" w:cs="宋体"/>
                <w:color w:val="auto"/>
                <w:sz w:val="21"/>
                <w:szCs w:val="21"/>
              </w:rPr>
            </w:pPr>
            <w:r>
              <w:rPr>
                <w:rFonts w:ascii="宋体" w:hAnsi="宋体" w:eastAsia="宋体" w:cs="宋体"/>
                <w:color w:val="auto"/>
                <w:spacing w:val="-3"/>
                <w:sz w:val="21"/>
                <w:szCs w:val="21"/>
              </w:rPr>
              <w:t>60</w:t>
            </w:r>
          </w:p>
        </w:tc>
        <w:tc>
          <w:tcPr>
            <w:tcW w:w="2859" w:type="dxa"/>
            <w:tcBorders>
              <w:right w:val="nil"/>
            </w:tcBorders>
            <w:vAlign w:val="top"/>
          </w:tcPr>
          <w:p>
            <w:pPr>
              <w:spacing w:before="153" w:line="183" w:lineRule="auto"/>
              <w:ind w:left="1324"/>
              <w:rPr>
                <w:rFonts w:ascii="宋体" w:hAnsi="宋体" w:eastAsia="宋体" w:cs="宋体"/>
                <w:color w:val="auto"/>
                <w:sz w:val="21"/>
                <w:szCs w:val="21"/>
              </w:rPr>
            </w:pPr>
            <w:r>
              <w:rPr>
                <w:rFonts w:ascii="宋体" w:hAnsi="宋体" w:eastAsia="宋体" w:cs="宋体"/>
                <w:color w:val="auto"/>
                <w:spacing w:val="-3"/>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40" w:type="dxa"/>
            <w:tcBorders>
              <w:left w:val="nil"/>
            </w:tcBorders>
            <w:vAlign w:val="top"/>
          </w:tcPr>
          <w:p>
            <w:pPr>
              <w:spacing w:before="166" w:line="183" w:lineRule="auto"/>
              <w:ind w:left="1319"/>
              <w:rPr>
                <w:rFonts w:ascii="宋体" w:hAnsi="宋体" w:eastAsia="宋体" w:cs="宋体"/>
                <w:color w:val="auto"/>
                <w:sz w:val="21"/>
                <w:szCs w:val="21"/>
              </w:rPr>
            </w:pPr>
            <w:r>
              <w:rPr>
                <w:rFonts w:ascii="宋体" w:hAnsi="宋体" w:eastAsia="宋体" w:cs="宋体"/>
                <w:color w:val="auto"/>
                <w:spacing w:val="-2"/>
                <w:sz w:val="21"/>
                <w:szCs w:val="21"/>
              </w:rPr>
              <w:t>4a</w:t>
            </w:r>
          </w:p>
        </w:tc>
        <w:tc>
          <w:tcPr>
            <w:tcW w:w="2830" w:type="dxa"/>
            <w:vAlign w:val="top"/>
          </w:tcPr>
          <w:p>
            <w:pPr>
              <w:spacing w:before="166" w:line="183" w:lineRule="auto"/>
              <w:ind w:left="1305"/>
              <w:rPr>
                <w:rFonts w:ascii="宋体" w:hAnsi="宋体" w:eastAsia="宋体" w:cs="宋体"/>
                <w:color w:val="auto"/>
                <w:sz w:val="21"/>
                <w:szCs w:val="21"/>
              </w:rPr>
            </w:pPr>
            <w:r>
              <w:rPr>
                <w:rFonts w:ascii="宋体" w:hAnsi="宋体" w:eastAsia="宋体" w:cs="宋体"/>
                <w:color w:val="auto"/>
                <w:spacing w:val="-4"/>
                <w:sz w:val="21"/>
                <w:szCs w:val="21"/>
              </w:rPr>
              <w:t>70</w:t>
            </w:r>
          </w:p>
        </w:tc>
        <w:tc>
          <w:tcPr>
            <w:tcW w:w="2859" w:type="dxa"/>
            <w:tcBorders>
              <w:right w:val="nil"/>
            </w:tcBorders>
            <w:vAlign w:val="top"/>
          </w:tcPr>
          <w:p>
            <w:pPr>
              <w:spacing w:before="167" w:line="182" w:lineRule="auto"/>
              <w:ind w:left="1324"/>
              <w:rPr>
                <w:rFonts w:ascii="宋体" w:hAnsi="宋体" w:eastAsia="宋体" w:cs="宋体"/>
                <w:color w:val="auto"/>
                <w:sz w:val="21"/>
                <w:szCs w:val="21"/>
              </w:rPr>
            </w:pPr>
            <w:r>
              <w:rPr>
                <w:rFonts w:ascii="宋体" w:hAnsi="宋体" w:eastAsia="宋体" w:cs="宋体"/>
                <w:color w:val="auto"/>
                <w:spacing w:val="-3"/>
                <w:sz w:val="21"/>
                <w:szCs w:val="21"/>
              </w:rPr>
              <w:t>55</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②排放标准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工程施工期场界噪声执行GB12523-2011《建筑施工场界环境噪声排放标准》中规定的限值，详见表2.4-2。</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表2.4-2 GB12523-2011《建筑施工场界环境噪声排放标准》  单位：</w:t>
      </w:r>
      <w:r>
        <w:rPr>
          <w:rFonts w:hint="default" w:ascii="宋体" w:hAnsi="宋体" w:eastAsia="宋体" w:cs="宋体"/>
          <w:spacing w:val="-4"/>
          <w:sz w:val="24"/>
          <w:szCs w:val="24"/>
          <w:lang w:val="en-US" w:eastAsia="zh-CN"/>
        </w:rPr>
        <w:t>dB</w:t>
      </w:r>
      <w:r>
        <w:rPr>
          <w:rFonts w:hint="eastAsia" w:ascii="宋体" w:hAnsi="宋体" w:eastAsia="宋体" w:cs="宋体"/>
          <w:spacing w:val="-4"/>
          <w:sz w:val="24"/>
          <w:szCs w:val="24"/>
          <w:lang w:val="en-US" w:eastAsia="zh-CN"/>
        </w:rPr>
        <w:t>（</w:t>
      </w:r>
      <w:r>
        <w:rPr>
          <w:rFonts w:hint="default" w:ascii="宋体" w:hAnsi="宋体" w:eastAsia="宋体" w:cs="宋体"/>
          <w:spacing w:val="-4"/>
          <w:sz w:val="24"/>
          <w:szCs w:val="24"/>
          <w:lang w:val="en-US" w:eastAsia="zh-CN"/>
        </w:rPr>
        <w:t>A</w:t>
      </w:r>
      <w:r>
        <w:rPr>
          <w:rFonts w:hint="eastAsia" w:ascii="宋体" w:hAnsi="宋体" w:eastAsia="宋体" w:cs="宋体"/>
          <w:spacing w:val="-4"/>
          <w:sz w:val="24"/>
          <w:szCs w:val="24"/>
          <w:lang w:val="en-US" w:eastAsia="zh-CN"/>
        </w:rPr>
        <w:t>）</w:t>
      </w:r>
    </w:p>
    <w:tbl>
      <w:tblPr>
        <w:tblStyle w:val="17"/>
        <w:tblW w:w="84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0"/>
        <w:gridCol w:w="4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250" w:type="dxa"/>
            <w:tcBorders>
              <w:left w:val="nil"/>
            </w:tcBorders>
            <w:vAlign w:val="top"/>
          </w:tcPr>
          <w:p>
            <w:pPr>
              <w:spacing w:before="107" w:line="222" w:lineRule="auto"/>
              <w:ind w:left="1909"/>
              <w:rPr>
                <w:rFonts w:ascii="宋体" w:hAnsi="宋体" w:eastAsia="宋体" w:cs="宋体"/>
                <w:sz w:val="21"/>
                <w:szCs w:val="21"/>
              </w:rPr>
            </w:pPr>
            <w:r>
              <w:rPr>
                <w:rFonts w:ascii="宋体" w:hAnsi="宋体" w:eastAsia="宋体" w:cs="宋体"/>
                <w:spacing w:val="10"/>
                <w:sz w:val="21"/>
                <w:szCs w:val="21"/>
              </w:rPr>
              <w:t>昼间</w:t>
            </w:r>
          </w:p>
        </w:tc>
        <w:tc>
          <w:tcPr>
            <w:tcW w:w="4249" w:type="dxa"/>
            <w:tcBorders>
              <w:right w:val="nil"/>
            </w:tcBorders>
            <w:vAlign w:val="top"/>
          </w:tcPr>
          <w:p>
            <w:pPr>
              <w:spacing w:before="103" w:line="219" w:lineRule="auto"/>
              <w:ind w:left="1904"/>
              <w:rPr>
                <w:rFonts w:ascii="宋体" w:hAnsi="宋体" w:eastAsia="宋体" w:cs="宋体"/>
                <w:sz w:val="21"/>
                <w:szCs w:val="21"/>
              </w:rPr>
            </w:pPr>
            <w:r>
              <w:rPr>
                <w:rFonts w:ascii="宋体" w:hAnsi="宋体" w:eastAsia="宋体" w:cs="宋体"/>
                <w:spacing w:val="10"/>
                <w:sz w:val="21"/>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250" w:type="dxa"/>
            <w:tcBorders>
              <w:left w:val="nil"/>
            </w:tcBorders>
            <w:vAlign w:val="top"/>
          </w:tcPr>
          <w:p>
            <w:pPr>
              <w:spacing w:before="198" w:line="183" w:lineRule="auto"/>
              <w:ind w:left="2019"/>
              <w:rPr>
                <w:rFonts w:ascii="宋体" w:hAnsi="宋体" w:eastAsia="宋体" w:cs="宋体"/>
                <w:sz w:val="21"/>
                <w:szCs w:val="21"/>
              </w:rPr>
            </w:pPr>
            <w:r>
              <w:rPr>
                <w:rFonts w:ascii="宋体" w:hAnsi="宋体" w:eastAsia="宋体" w:cs="宋体"/>
                <w:spacing w:val="-4"/>
                <w:sz w:val="21"/>
                <w:szCs w:val="21"/>
              </w:rPr>
              <w:t>70</w:t>
            </w:r>
          </w:p>
        </w:tc>
        <w:tc>
          <w:tcPr>
            <w:tcW w:w="4249" w:type="dxa"/>
            <w:tcBorders>
              <w:right w:val="nil"/>
            </w:tcBorders>
            <w:vAlign w:val="top"/>
          </w:tcPr>
          <w:p>
            <w:pPr>
              <w:spacing w:before="159" w:line="182" w:lineRule="auto"/>
              <w:ind w:left="2014"/>
              <w:rPr>
                <w:rFonts w:ascii="宋体" w:hAnsi="宋体" w:eastAsia="宋体" w:cs="宋体"/>
                <w:sz w:val="21"/>
                <w:szCs w:val="21"/>
              </w:rPr>
            </w:pPr>
            <w:r>
              <w:rPr>
                <w:rFonts w:ascii="宋体" w:hAnsi="宋体" w:eastAsia="宋体" w:cs="宋体"/>
                <w:spacing w:val="-4"/>
                <w:sz w:val="21"/>
                <w:szCs w:val="21"/>
              </w:rPr>
              <w:t>55</w:t>
            </w:r>
          </w:p>
        </w:tc>
      </w:tr>
    </w:tbl>
    <w:p>
      <w:pPr>
        <w:keepNext w:val="0"/>
        <w:keepLines w:val="0"/>
        <w:pageBreakBefore w:val="0"/>
        <w:widowControl/>
        <w:kinsoku w:val="0"/>
        <w:wordWrap/>
        <w:overflowPunct/>
        <w:topLinePunct w:val="0"/>
        <w:autoSpaceDE w:val="0"/>
        <w:autoSpaceDN w:val="0"/>
        <w:bidi w:val="0"/>
        <w:adjustRightInd w:val="0"/>
        <w:snapToGrid w:val="0"/>
        <w:spacing w:before="135" w:line="360" w:lineRule="auto"/>
        <w:textAlignment w:val="baseline"/>
        <w:rPr>
          <w:rFonts w:ascii="宋体" w:hAnsi="宋体" w:eastAsia="宋体" w:cs="宋体"/>
          <w:sz w:val="24"/>
          <w:szCs w:val="24"/>
        </w:rPr>
      </w:pPr>
      <w:r>
        <w:rPr>
          <w:rFonts w:ascii="宋体" w:hAnsi="宋体" w:eastAsia="宋体" w:cs="宋体"/>
          <w:spacing w:val="-15"/>
          <w:sz w:val="24"/>
          <w:szCs w:val="24"/>
        </w:rPr>
        <w:t>(2)大气环境标准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z w:val="24"/>
          <w:szCs w:val="24"/>
        </w:rPr>
      </w:pPr>
      <w:r>
        <w:rPr>
          <w:rFonts w:ascii="宋体" w:hAnsi="宋体" w:eastAsia="宋体" w:cs="宋体"/>
          <w:sz w:val="24"/>
          <w:szCs w:val="24"/>
        </w:rPr>
        <w:t>①质量标准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工程所在区域大气环境功能区划为二类功能区，执行GB3095-2012 《环境空气质量标准》二级标准。具体标准值见表2.4-3。</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center"/>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表2.4-3 GB3095-2012 《环境空气质量标准》</w:t>
      </w:r>
    </w:p>
    <w:p>
      <w:pPr>
        <w:spacing w:line="81" w:lineRule="exact"/>
      </w:pPr>
    </w:p>
    <w:tbl>
      <w:tblPr>
        <w:tblStyle w:val="17"/>
        <w:tblW w:w="8718"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6"/>
        <w:gridCol w:w="2424"/>
        <w:gridCol w:w="2115"/>
        <w:gridCol w:w="1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2516" w:type="dxa"/>
            <w:vMerge w:val="restart"/>
            <w:tcBorders>
              <w:left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污染物名称</w:t>
            </w:r>
          </w:p>
        </w:tc>
        <w:tc>
          <w:tcPr>
            <w:tcW w:w="242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取值时间</w:t>
            </w:r>
          </w:p>
        </w:tc>
        <w:tc>
          <w:tcPr>
            <w:tcW w:w="3778" w:type="dxa"/>
            <w:gridSpan w:val="2"/>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2516" w:type="dxa"/>
            <w:vMerge w:val="continue"/>
            <w:tcBorders>
              <w:top w:val="nil"/>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c>
          <w:tcPr>
            <w:tcW w:w="242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二级标准</w:t>
            </w:r>
          </w:p>
        </w:tc>
        <w:tc>
          <w:tcPr>
            <w:tcW w:w="1663" w:type="dxa"/>
            <w:tcBorders>
              <w:right w:val="nil"/>
            </w:tcBorders>
            <w:vAlign w:val="top"/>
          </w:tcPr>
          <w:p>
            <w:pPr>
              <w:spacing w:before="70" w:line="220" w:lineRule="auto"/>
              <w:ind w:left="594"/>
              <w:rPr>
                <w:rFonts w:ascii="宋体" w:hAnsi="宋体" w:eastAsia="宋体" w:cs="宋体"/>
                <w:sz w:val="21"/>
                <w:szCs w:val="21"/>
              </w:rPr>
            </w:pPr>
            <w:r>
              <w:rPr>
                <w:rFonts w:ascii="宋体" w:hAnsi="宋体" w:eastAsia="宋体" w:cs="宋体"/>
                <w:spacing w:val="-3"/>
                <w:sz w:val="21"/>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16" w:type="dxa"/>
            <w:tcBorders>
              <w:left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10"/>
                <w:sz w:val="21"/>
                <w:szCs w:val="21"/>
                <w:lang w:val="en-US" w:eastAsia="zh-CN"/>
              </w:rPr>
            </w:pPr>
            <w:r>
              <w:rPr>
                <w:rFonts w:ascii="宋体" w:hAnsi="宋体" w:eastAsia="宋体" w:cs="宋体"/>
                <w:spacing w:val="10"/>
                <w:sz w:val="21"/>
                <w:szCs w:val="21"/>
              </w:rPr>
              <w:t>PM</w:t>
            </w:r>
            <w:r>
              <w:rPr>
                <w:rFonts w:hint="eastAsia" w:ascii="宋体" w:hAnsi="宋体" w:eastAsia="宋体" w:cs="宋体"/>
                <w:spacing w:val="10"/>
                <w:sz w:val="21"/>
                <w:szCs w:val="21"/>
                <w:vertAlign w:val="subscript"/>
                <w:lang w:val="en-US" w:eastAsia="zh-CN"/>
              </w:rPr>
              <w:t>10</w:t>
            </w:r>
          </w:p>
        </w:tc>
        <w:tc>
          <w:tcPr>
            <w:tcW w:w="2424"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日平均</w:t>
            </w: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0.15</w:t>
            </w:r>
          </w:p>
        </w:tc>
        <w:tc>
          <w:tcPr>
            <w:tcW w:w="1663" w:type="dxa"/>
            <w:tcBorders>
              <w:bottom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2516" w:type="dxa"/>
            <w:vMerge w:val="restart"/>
            <w:tcBorders>
              <w:left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SO₂</w:t>
            </w:r>
          </w:p>
        </w:tc>
        <w:tc>
          <w:tcPr>
            <w:tcW w:w="2424"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日平均</w:t>
            </w: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0.15</w:t>
            </w:r>
          </w:p>
        </w:tc>
        <w:tc>
          <w:tcPr>
            <w:tcW w:w="1663" w:type="dxa"/>
            <w:vMerge w:val="restart"/>
            <w:tcBorders>
              <w:bottom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mg/m³</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2516" w:type="dxa"/>
            <w:vMerge w:val="continue"/>
            <w:tcBorders>
              <w:top w:val="nil"/>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c>
          <w:tcPr>
            <w:tcW w:w="2424"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1小时平均</w:t>
            </w: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0.5</w:t>
            </w:r>
          </w:p>
        </w:tc>
        <w:tc>
          <w:tcPr>
            <w:tcW w:w="1663" w:type="dxa"/>
            <w:vMerge w:val="continue"/>
            <w:tcBorders>
              <w:top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2516" w:type="dxa"/>
            <w:vMerge w:val="restart"/>
            <w:tcBorders>
              <w:left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NO₂</w:t>
            </w:r>
          </w:p>
        </w:tc>
        <w:tc>
          <w:tcPr>
            <w:tcW w:w="2424"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日平均</w:t>
            </w: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0.08</w:t>
            </w:r>
          </w:p>
        </w:tc>
        <w:tc>
          <w:tcPr>
            <w:tcW w:w="1663" w:type="dxa"/>
            <w:vMerge w:val="restart"/>
            <w:tcBorders>
              <w:bottom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2516" w:type="dxa"/>
            <w:vMerge w:val="continue"/>
            <w:tcBorders>
              <w:top w:val="nil"/>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c>
          <w:tcPr>
            <w:tcW w:w="2424"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1小时平均</w:t>
            </w: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0.2</w:t>
            </w:r>
          </w:p>
        </w:tc>
        <w:tc>
          <w:tcPr>
            <w:tcW w:w="1663" w:type="dxa"/>
            <w:vMerge w:val="continue"/>
            <w:tcBorders>
              <w:top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2516" w:type="dxa"/>
            <w:vMerge w:val="restart"/>
            <w:tcBorders>
              <w:left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CO</w:t>
            </w:r>
          </w:p>
        </w:tc>
        <w:tc>
          <w:tcPr>
            <w:tcW w:w="2424"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1小时平均</w:t>
            </w: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10</w:t>
            </w:r>
          </w:p>
        </w:tc>
        <w:tc>
          <w:tcPr>
            <w:tcW w:w="1663" w:type="dxa"/>
            <w:vMerge w:val="restart"/>
            <w:tcBorders>
              <w:bottom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2516" w:type="dxa"/>
            <w:vMerge w:val="continue"/>
            <w:tcBorders>
              <w:top w:val="nil"/>
              <w:left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c>
          <w:tcPr>
            <w:tcW w:w="2424"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日平均</w:t>
            </w: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4</w:t>
            </w:r>
          </w:p>
        </w:tc>
        <w:tc>
          <w:tcPr>
            <w:tcW w:w="1663" w:type="dxa"/>
            <w:vMerge w:val="continue"/>
            <w:tcBorders>
              <w:top w:val="nil"/>
              <w:bottom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rPr>
        <w:tc>
          <w:tcPr>
            <w:tcW w:w="2516" w:type="dxa"/>
            <w:tcBorders>
              <w:top w:val="nil"/>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PM</w:t>
            </w:r>
            <w:r>
              <w:rPr>
                <w:rFonts w:hint="eastAsia" w:ascii="宋体" w:hAnsi="宋体" w:eastAsia="宋体" w:cs="宋体"/>
                <w:spacing w:val="10"/>
                <w:sz w:val="21"/>
                <w:szCs w:val="21"/>
                <w:vertAlign w:val="subscript"/>
                <w:lang w:val="en-US" w:eastAsia="zh-CN"/>
              </w:rPr>
              <w:t>2.5</w:t>
            </w:r>
          </w:p>
        </w:tc>
        <w:tc>
          <w:tcPr>
            <w:tcW w:w="2424"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日平均</w:t>
            </w:r>
          </w:p>
        </w:tc>
        <w:tc>
          <w:tcPr>
            <w:tcW w:w="211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0.075</w:t>
            </w:r>
          </w:p>
        </w:tc>
        <w:tc>
          <w:tcPr>
            <w:tcW w:w="1663" w:type="dxa"/>
            <w:tcBorders>
              <w:top w:val="nil"/>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ascii="宋体" w:hAnsi="宋体" w:eastAsia="宋体" w:cs="宋体"/>
                <w:spacing w:val="10"/>
                <w:sz w:val="21"/>
                <w:szCs w:val="21"/>
              </w:rPr>
            </w:pPr>
            <w:r>
              <w:rPr>
                <w:rFonts w:ascii="宋体" w:hAnsi="宋体" w:eastAsia="宋体" w:cs="宋体"/>
                <w:spacing w:val="10"/>
                <w:sz w:val="21"/>
                <w:szCs w:val="21"/>
              </w:rPr>
              <w:t>mg/m³</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z w:val="24"/>
          <w:szCs w:val="24"/>
        </w:rPr>
      </w:pPr>
      <w:r>
        <w:rPr>
          <w:rFonts w:ascii="宋体" w:hAnsi="宋体" w:eastAsia="宋体" w:cs="宋体"/>
          <w:sz w:val="24"/>
          <w:szCs w:val="24"/>
        </w:rPr>
        <w:t>②排放标准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环境空气污染物主要来自施工期产生的扬尘等， 其排放应执GB16297-1996 《大气污染物综合排放标准》表2 中无组织排放监控浓度限值，标准值见表2.4-4。</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center"/>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表2.4-4  GB16297-1996 《大气污染物综合排放标准》表2标准</w:t>
      </w:r>
    </w:p>
    <w:p>
      <w:pPr>
        <w:spacing w:line="82" w:lineRule="exact"/>
      </w:pPr>
    </w:p>
    <w:tbl>
      <w:tblPr>
        <w:tblStyle w:val="17"/>
        <w:tblW w:w="84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9"/>
        <w:gridCol w:w="2780"/>
        <w:gridCol w:w="2500"/>
        <w:gridCol w:w="2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vMerge w:val="restart"/>
            <w:tcBorders>
              <w:left w:val="nil"/>
              <w:bottom w:val="nil"/>
            </w:tcBorders>
            <w:vAlign w:val="top"/>
          </w:tcPr>
          <w:p>
            <w:pPr>
              <w:spacing w:line="244" w:lineRule="auto"/>
              <w:rPr>
                <w:rFonts w:ascii="Arial"/>
                <w:sz w:val="21"/>
              </w:rPr>
            </w:pPr>
          </w:p>
          <w:p>
            <w:pPr>
              <w:spacing w:before="68" w:line="220" w:lineRule="auto"/>
              <w:ind w:left="239"/>
              <w:rPr>
                <w:rFonts w:ascii="宋体" w:hAnsi="宋体" w:eastAsia="宋体" w:cs="宋体"/>
                <w:sz w:val="21"/>
                <w:szCs w:val="21"/>
              </w:rPr>
            </w:pPr>
            <w:r>
              <w:rPr>
                <w:rFonts w:ascii="宋体" w:hAnsi="宋体" w:eastAsia="宋体" w:cs="宋体"/>
                <w:spacing w:val="3"/>
                <w:sz w:val="21"/>
                <w:szCs w:val="21"/>
              </w:rPr>
              <w:t>污染物</w:t>
            </w:r>
          </w:p>
        </w:tc>
        <w:tc>
          <w:tcPr>
            <w:tcW w:w="2780" w:type="dxa"/>
            <w:vMerge w:val="restart"/>
            <w:tcBorders>
              <w:bottom w:val="nil"/>
            </w:tcBorders>
            <w:vAlign w:val="top"/>
          </w:tcPr>
          <w:p>
            <w:pPr>
              <w:spacing w:line="244" w:lineRule="auto"/>
              <w:rPr>
                <w:rFonts w:ascii="Arial"/>
                <w:sz w:val="21"/>
              </w:rPr>
            </w:pPr>
          </w:p>
          <w:p>
            <w:pPr>
              <w:spacing w:before="68" w:line="219" w:lineRule="auto"/>
              <w:ind w:left="966"/>
              <w:rPr>
                <w:rFonts w:ascii="宋体" w:hAnsi="宋体" w:eastAsia="宋体" w:cs="宋体"/>
                <w:sz w:val="21"/>
                <w:szCs w:val="21"/>
              </w:rPr>
            </w:pPr>
            <w:r>
              <w:rPr>
                <w:rFonts w:ascii="宋体" w:hAnsi="宋体" w:eastAsia="宋体" w:cs="宋体"/>
                <w:spacing w:val="3"/>
                <w:sz w:val="21"/>
                <w:szCs w:val="21"/>
              </w:rPr>
              <w:t>生产工艺</w:t>
            </w:r>
          </w:p>
        </w:tc>
        <w:tc>
          <w:tcPr>
            <w:tcW w:w="4610" w:type="dxa"/>
            <w:gridSpan w:val="2"/>
            <w:tcBorders>
              <w:right w:val="nil"/>
            </w:tcBorders>
            <w:vAlign w:val="top"/>
          </w:tcPr>
          <w:p>
            <w:pPr>
              <w:spacing w:before="113" w:line="219" w:lineRule="auto"/>
              <w:ind w:left="1146"/>
              <w:rPr>
                <w:rFonts w:ascii="宋体" w:hAnsi="宋体" w:eastAsia="宋体" w:cs="宋体"/>
                <w:sz w:val="21"/>
                <w:szCs w:val="21"/>
              </w:rPr>
            </w:pPr>
            <w:r>
              <w:rPr>
                <w:rFonts w:ascii="宋体" w:hAnsi="宋体" w:eastAsia="宋体" w:cs="宋体"/>
                <w:spacing w:val="-1"/>
                <w:sz w:val="21"/>
                <w:szCs w:val="21"/>
              </w:rPr>
              <w:t>无组织排放监控浓度限值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09" w:type="dxa"/>
            <w:vMerge w:val="continue"/>
            <w:tcBorders>
              <w:top w:val="nil"/>
              <w:left w:val="nil"/>
            </w:tcBorders>
            <w:vAlign w:val="top"/>
          </w:tcPr>
          <w:p>
            <w:pPr>
              <w:rPr>
                <w:rFonts w:ascii="Arial"/>
                <w:sz w:val="21"/>
              </w:rPr>
            </w:pPr>
          </w:p>
        </w:tc>
        <w:tc>
          <w:tcPr>
            <w:tcW w:w="2780" w:type="dxa"/>
            <w:vMerge w:val="continue"/>
            <w:tcBorders>
              <w:top w:val="nil"/>
            </w:tcBorders>
            <w:vAlign w:val="top"/>
          </w:tcPr>
          <w:p>
            <w:pPr>
              <w:rPr>
                <w:rFonts w:ascii="Arial"/>
                <w:sz w:val="21"/>
              </w:rPr>
            </w:pPr>
          </w:p>
        </w:tc>
        <w:tc>
          <w:tcPr>
            <w:tcW w:w="2500" w:type="dxa"/>
            <w:vAlign w:val="top"/>
          </w:tcPr>
          <w:p>
            <w:pPr>
              <w:spacing w:before="93" w:line="220" w:lineRule="auto"/>
              <w:ind w:left="925"/>
              <w:rPr>
                <w:rFonts w:ascii="宋体" w:hAnsi="宋体" w:eastAsia="宋体" w:cs="宋体"/>
                <w:sz w:val="21"/>
                <w:szCs w:val="21"/>
              </w:rPr>
            </w:pPr>
            <w:r>
              <w:rPr>
                <w:rFonts w:ascii="宋体" w:hAnsi="宋体" w:eastAsia="宋体" w:cs="宋体"/>
                <w:spacing w:val="6"/>
                <w:sz w:val="21"/>
                <w:szCs w:val="21"/>
              </w:rPr>
              <w:t>监控点</w:t>
            </w:r>
          </w:p>
        </w:tc>
        <w:tc>
          <w:tcPr>
            <w:tcW w:w="2110" w:type="dxa"/>
            <w:tcBorders>
              <w:right w:val="nil"/>
            </w:tcBorders>
            <w:vAlign w:val="top"/>
          </w:tcPr>
          <w:p>
            <w:pPr>
              <w:spacing w:before="85" w:line="214" w:lineRule="auto"/>
              <w:ind w:left="416"/>
              <w:rPr>
                <w:rFonts w:ascii="宋体" w:hAnsi="宋体" w:eastAsia="宋体" w:cs="宋体"/>
                <w:sz w:val="21"/>
                <w:szCs w:val="21"/>
              </w:rPr>
            </w:pPr>
            <w:r>
              <w:rPr>
                <w:rFonts w:ascii="宋体" w:hAnsi="宋体" w:eastAsia="宋体" w:cs="宋体"/>
                <w:spacing w:val="21"/>
                <w:sz w:val="21"/>
                <w:szCs w:val="21"/>
              </w:rPr>
              <w:t>浓度(</w:t>
            </w:r>
            <w:r>
              <w:rPr>
                <w:rFonts w:ascii="宋体" w:hAnsi="宋体" w:eastAsia="宋体" w:cs="宋体"/>
                <w:sz w:val="21"/>
                <w:szCs w:val="21"/>
              </w:rPr>
              <w:t>mg</w:t>
            </w:r>
            <w:r>
              <w:rPr>
                <w:rFonts w:ascii="宋体" w:hAnsi="宋体" w:eastAsia="宋体" w:cs="宋体"/>
                <w:spacing w:val="21"/>
                <w:sz w:val="21"/>
                <w:szCs w:val="21"/>
              </w:rPr>
              <w:t>/m³)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109" w:type="dxa"/>
            <w:tcBorders>
              <w:left w:val="nil"/>
            </w:tcBorders>
            <w:vAlign w:val="top"/>
          </w:tcPr>
          <w:p>
            <w:pPr>
              <w:spacing w:before="116" w:line="220" w:lineRule="auto"/>
              <w:ind w:left="239"/>
              <w:rPr>
                <w:rFonts w:ascii="宋体" w:hAnsi="宋体" w:eastAsia="宋体" w:cs="宋体"/>
                <w:sz w:val="21"/>
                <w:szCs w:val="21"/>
              </w:rPr>
            </w:pPr>
            <w:r>
              <w:rPr>
                <w:rFonts w:ascii="宋体" w:hAnsi="宋体" w:eastAsia="宋体" w:cs="宋体"/>
                <w:spacing w:val="-2"/>
                <w:sz w:val="21"/>
                <w:szCs w:val="21"/>
              </w:rPr>
              <w:t>颗粒物</w:t>
            </w:r>
          </w:p>
        </w:tc>
        <w:tc>
          <w:tcPr>
            <w:tcW w:w="2780" w:type="dxa"/>
            <w:vAlign w:val="top"/>
          </w:tcPr>
          <w:p>
            <w:pPr>
              <w:spacing w:before="115" w:line="219" w:lineRule="auto"/>
              <w:ind w:left="336"/>
              <w:rPr>
                <w:rFonts w:ascii="宋体" w:hAnsi="宋体" w:eastAsia="宋体" w:cs="宋体"/>
                <w:sz w:val="21"/>
                <w:szCs w:val="21"/>
              </w:rPr>
            </w:pPr>
            <w:r>
              <w:rPr>
                <w:rFonts w:ascii="宋体" w:hAnsi="宋体" w:eastAsia="宋体" w:cs="宋体"/>
                <w:spacing w:val="-1"/>
                <w:sz w:val="21"/>
                <w:szCs w:val="21"/>
              </w:rPr>
              <w:t>路基填筑、车辆运输等</w:t>
            </w:r>
          </w:p>
        </w:tc>
        <w:tc>
          <w:tcPr>
            <w:tcW w:w="2500" w:type="dxa"/>
            <w:vAlign w:val="top"/>
          </w:tcPr>
          <w:p>
            <w:pPr>
              <w:spacing w:before="115" w:line="219" w:lineRule="auto"/>
              <w:ind w:left="405"/>
              <w:rPr>
                <w:rFonts w:ascii="宋体" w:hAnsi="宋体" w:eastAsia="宋体" w:cs="宋体"/>
                <w:sz w:val="21"/>
                <w:szCs w:val="21"/>
              </w:rPr>
            </w:pPr>
            <w:r>
              <w:rPr>
                <w:rFonts w:ascii="宋体" w:hAnsi="宋体" w:eastAsia="宋体" w:cs="宋体"/>
                <w:spacing w:val="2"/>
                <w:sz w:val="21"/>
                <w:szCs w:val="21"/>
              </w:rPr>
              <w:t>周界外浓度最高点</w:t>
            </w:r>
          </w:p>
        </w:tc>
        <w:tc>
          <w:tcPr>
            <w:tcW w:w="2110" w:type="dxa"/>
            <w:tcBorders>
              <w:right w:val="nil"/>
            </w:tcBorders>
            <w:vAlign w:val="top"/>
          </w:tcPr>
          <w:p>
            <w:pPr>
              <w:spacing w:before="198" w:line="184" w:lineRule="auto"/>
              <w:ind w:left="885"/>
              <w:rPr>
                <w:rFonts w:ascii="宋体" w:hAnsi="宋体" w:eastAsia="宋体" w:cs="宋体"/>
                <w:sz w:val="21"/>
                <w:szCs w:val="21"/>
              </w:rPr>
            </w:pPr>
            <w:r>
              <w:rPr>
                <w:rFonts w:ascii="宋体" w:hAnsi="宋体" w:eastAsia="宋体" w:cs="宋体"/>
                <w:spacing w:val="-6"/>
                <w:sz w:val="21"/>
                <w:szCs w:val="21"/>
              </w:rPr>
              <w:t>1.0</w:t>
            </w:r>
          </w:p>
        </w:tc>
      </w:tr>
    </w:tbl>
    <w:p>
      <w:pPr>
        <w:spacing w:before="275" w:line="219" w:lineRule="auto"/>
        <w:rPr>
          <w:rFonts w:ascii="宋体" w:hAnsi="宋体" w:eastAsia="宋体" w:cs="宋体"/>
          <w:sz w:val="24"/>
          <w:szCs w:val="24"/>
        </w:rPr>
      </w:pPr>
      <w:r>
        <w:rPr>
          <w:rFonts w:ascii="宋体" w:hAnsi="宋体" w:eastAsia="宋体" w:cs="宋体"/>
          <w:spacing w:val="-13"/>
          <w:sz w:val="24"/>
          <w:szCs w:val="24"/>
        </w:rPr>
        <w:t>(3)水环境标准</w:t>
      </w:r>
    </w:p>
    <w:p>
      <w:pPr>
        <w:keepNext w:val="0"/>
        <w:keepLines w:val="0"/>
        <w:pageBreakBefore w:val="0"/>
        <w:widowControl/>
        <w:kinsoku w:val="0"/>
        <w:wordWrap/>
        <w:overflowPunct/>
        <w:topLinePunct w:val="0"/>
        <w:autoSpaceDE w:val="0"/>
        <w:autoSpaceDN w:val="0"/>
        <w:bidi w:val="0"/>
        <w:adjustRightInd w:val="0"/>
        <w:snapToGrid w:val="0"/>
        <w:spacing w:before="242" w:line="360" w:lineRule="auto"/>
        <w:ind w:left="560"/>
        <w:textAlignment w:val="baseline"/>
        <w:rPr>
          <w:rFonts w:ascii="宋体" w:hAnsi="宋体" w:eastAsia="宋体" w:cs="宋体"/>
          <w:sz w:val="24"/>
          <w:szCs w:val="24"/>
        </w:rPr>
      </w:pPr>
      <w:r>
        <w:rPr>
          <w:rFonts w:ascii="宋体" w:hAnsi="宋体" w:eastAsia="宋体" w:cs="宋体"/>
          <w:sz w:val="24"/>
          <w:szCs w:val="24"/>
        </w:rPr>
        <w:t>①质量标准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项目附近地表水体为旭水河、釜溪河，执行《地表水环境质量标准》（GB3838-2002）中Ⅲ类水域标准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见表2.4-5。</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center"/>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表2.4-5 GB3838-2002 《地表水环境质量标准》  (单位： mg/L(pH除外)</w:t>
      </w:r>
    </w:p>
    <w:p>
      <w:pPr>
        <w:spacing w:line="81" w:lineRule="exact"/>
      </w:pPr>
    </w:p>
    <w:tbl>
      <w:tblPr>
        <w:tblStyle w:val="17"/>
        <w:tblW w:w="87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8"/>
        <w:gridCol w:w="2557"/>
        <w:gridCol w:w="5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218" w:type="dxa"/>
            <w:tcBorders>
              <w:left w:val="nil"/>
            </w:tcBorders>
            <w:vAlign w:val="top"/>
          </w:tcPr>
          <w:p>
            <w:pPr>
              <w:spacing w:before="104" w:line="221" w:lineRule="auto"/>
              <w:ind w:left="290"/>
              <w:rPr>
                <w:rFonts w:ascii="宋体" w:hAnsi="宋体" w:eastAsia="宋体" w:cs="宋体"/>
                <w:sz w:val="21"/>
                <w:szCs w:val="21"/>
              </w:rPr>
            </w:pPr>
            <w:r>
              <w:rPr>
                <w:rFonts w:ascii="宋体" w:hAnsi="宋体" w:eastAsia="宋体" w:cs="宋体"/>
                <w:spacing w:val="-4"/>
                <w:sz w:val="21"/>
                <w:szCs w:val="21"/>
              </w:rPr>
              <w:t>序</w:t>
            </w:r>
            <w:r>
              <w:rPr>
                <w:rFonts w:ascii="宋体" w:hAnsi="宋体" w:eastAsia="宋体" w:cs="宋体"/>
                <w:spacing w:val="16"/>
                <w:sz w:val="21"/>
                <w:szCs w:val="21"/>
              </w:rPr>
              <w:t xml:space="preserve">  </w:t>
            </w:r>
            <w:r>
              <w:rPr>
                <w:rFonts w:ascii="宋体" w:hAnsi="宋体" w:eastAsia="宋体" w:cs="宋体"/>
                <w:spacing w:val="-4"/>
                <w:sz w:val="21"/>
                <w:szCs w:val="21"/>
              </w:rPr>
              <w:t>号</w:t>
            </w:r>
          </w:p>
        </w:tc>
        <w:tc>
          <w:tcPr>
            <w:tcW w:w="2557" w:type="dxa"/>
            <w:vAlign w:val="top"/>
          </w:tcPr>
          <w:p>
            <w:pPr>
              <w:spacing w:before="104" w:line="220" w:lineRule="auto"/>
              <w:ind w:left="855"/>
              <w:rPr>
                <w:rFonts w:ascii="宋体" w:hAnsi="宋体" w:eastAsia="宋体" w:cs="宋体"/>
                <w:sz w:val="21"/>
                <w:szCs w:val="21"/>
              </w:rPr>
            </w:pPr>
            <w:r>
              <w:rPr>
                <w:rFonts w:ascii="宋体" w:hAnsi="宋体" w:eastAsia="宋体" w:cs="宋体"/>
                <w:spacing w:val="-6"/>
                <w:sz w:val="21"/>
                <w:szCs w:val="21"/>
              </w:rPr>
              <w:t>项</w:t>
            </w:r>
            <w:r>
              <w:rPr>
                <w:rFonts w:ascii="宋体" w:hAnsi="宋体" w:eastAsia="宋体" w:cs="宋体"/>
                <w:spacing w:val="25"/>
                <w:sz w:val="21"/>
                <w:szCs w:val="21"/>
              </w:rPr>
              <w:t xml:space="preserve">    </w:t>
            </w:r>
            <w:r>
              <w:rPr>
                <w:rFonts w:ascii="宋体" w:hAnsi="宋体" w:eastAsia="宋体" w:cs="宋体"/>
                <w:spacing w:val="-6"/>
                <w:sz w:val="21"/>
                <w:szCs w:val="21"/>
              </w:rPr>
              <w:t>目</w:t>
            </w:r>
          </w:p>
        </w:tc>
        <w:tc>
          <w:tcPr>
            <w:tcW w:w="5004" w:type="dxa"/>
            <w:tcBorders>
              <w:right w:val="nil"/>
            </w:tcBorders>
            <w:vAlign w:val="top"/>
          </w:tcPr>
          <w:p>
            <w:pPr>
              <w:spacing w:before="103" w:line="219" w:lineRule="auto"/>
              <w:ind w:left="2075"/>
              <w:rPr>
                <w:rFonts w:ascii="宋体" w:hAnsi="宋体" w:eastAsia="宋体" w:cs="宋体"/>
                <w:sz w:val="21"/>
                <w:szCs w:val="21"/>
              </w:rPr>
            </w:pPr>
            <w:r>
              <w:rPr>
                <w:rFonts w:ascii="宋体" w:hAnsi="宋体" w:eastAsia="宋体" w:cs="宋体"/>
                <w:spacing w:val="-2"/>
                <w:sz w:val="21"/>
                <w:szCs w:val="21"/>
              </w:rPr>
              <w:t>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218" w:type="dxa"/>
            <w:tcBorders>
              <w:left w:val="nil"/>
            </w:tcBorders>
            <w:vAlign w:val="top"/>
          </w:tcPr>
          <w:p>
            <w:pPr>
              <w:spacing w:before="156" w:line="183" w:lineRule="auto"/>
              <w:ind w:left="550"/>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2557" w:type="dxa"/>
            <w:vAlign w:val="top"/>
          </w:tcPr>
          <w:p>
            <w:pPr>
              <w:spacing w:before="127" w:line="182" w:lineRule="auto"/>
              <w:ind w:left="1167"/>
              <w:rPr>
                <w:rFonts w:ascii="宋体" w:hAnsi="宋体" w:eastAsia="宋体" w:cs="宋体"/>
                <w:sz w:val="21"/>
                <w:szCs w:val="21"/>
              </w:rPr>
            </w:pPr>
            <w:r>
              <w:rPr>
                <w:rFonts w:ascii="宋体" w:hAnsi="宋体" w:eastAsia="宋体" w:cs="宋体"/>
                <w:b/>
                <w:bCs/>
                <w:spacing w:val="-4"/>
                <w:sz w:val="21"/>
                <w:szCs w:val="21"/>
              </w:rPr>
              <w:t>pH</w:t>
            </w:r>
          </w:p>
        </w:tc>
        <w:tc>
          <w:tcPr>
            <w:tcW w:w="5004" w:type="dxa"/>
            <w:tcBorders>
              <w:right w:val="nil"/>
            </w:tcBorders>
            <w:vAlign w:val="top"/>
          </w:tcPr>
          <w:p>
            <w:pPr>
              <w:spacing w:before="156" w:line="183" w:lineRule="auto"/>
              <w:ind w:left="2285"/>
              <w:rPr>
                <w:rFonts w:ascii="宋体" w:hAnsi="宋体" w:eastAsia="宋体" w:cs="宋体"/>
                <w:sz w:val="21"/>
                <w:szCs w:val="21"/>
              </w:rPr>
            </w:pPr>
            <w:r>
              <w:rPr>
                <w:rFonts w:ascii="宋体" w:hAnsi="宋体" w:eastAsia="宋体" w:cs="宋体"/>
                <w:spacing w:val="-3"/>
                <w:sz w:val="21"/>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218" w:type="dxa"/>
            <w:tcBorders>
              <w:left w:val="nil"/>
            </w:tcBorders>
            <w:vAlign w:val="top"/>
          </w:tcPr>
          <w:p>
            <w:pPr>
              <w:spacing w:before="158" w:line="183" w:lineRule="auto"/>
              <w:ind w:left="550"/>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2557" w:type="dxa"/>
            <w:vAlign w:val="top"/>
          </w:tcPr>
          <w:p>
            <w:pPr>
              <w:spacing w:before="104" w:line="219" w:lineRule="auto"/>
              <w:ind w:left="645" w:firstLine="420" w:firstLineChars="200"/>
              <w:rPr>
                <w:rFonts w:ascii="宋体" w:hAnsi="宋体" w:eastAsia="宋体" w:cs="宋体"/>
                <w:sz w:val="21"/>
                <w:szCs w:val="21"/>
              </w:rPr>
            </w:pPr>
            <w:r>
              <w:rPr>
                <w:rFonts w:hint="eastAsia" w:ascii="宋体" w:hAnsi="宋体" w:eastAsia="宋体" w:cs="宋体"/>
                <w:sz w:val="21"/>
                <w:szCs w:val="21"/>
              </w:rPr>
              <w:t>CODCr</w:t>
            </w:r>
          </w:p>
        </w:tc>
        <w:tc>
          <w:tcPr>
            <w:tcW w:w="5004" w:type="dxa"/>
            <w:tcBorders>
              <w:right w:val="nil"/>
            </w:tcBorders>
            <w:vAlign w:val="top"/>
          </w:tcPr>
          <w:p>
            <w:pPr>
              <w:spacing w:before="123" w:line="236" w:lineRule="auto"/>
              <w:ind w:left="2335"/>
              <w:rPr>
                <w:rFonts w:hint="default" w:ascii="宋体" w:hAnsi="宋体" w:eastAsia="宋体" w:cs="宋体"/>
                <w:sz w:val="21"/>
                <w:szCs w:val="21"/>
                <w:lang w:val="en-US" w:eastAsia="zh-CN"/>
              </w:rPr>
            </w:pPr>
            <w:r>
              <w:rPr>
                <w:rFonts w:ascii="宋体" w:hAnsi="宋体" w:eastAsia="宋体" w:cs="宋体"/>
                <w:spacing w:val="-8"/>
                <w:sz w:val="21"/>
                <w:szCs w:val="21"/>
              </w:rPr>
              <w:t>≤</w:t>
            </w:r>
            <w:r>
              <w:rPr>
                <w:rFonts w:hint="eastAsia" w:ascii="宋体" w:hAnsi="宋体" w:eastAsia="宋体" w:cs="宋体"/>
                <w:spacing w:val="-8"/>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18" w:type="dxa"/>
            <w:tcBorders>
              <w:left w:val="nil"/>
            </w:tcBorders>
            <w:vAlign w:val="top"/>
          </w:tcPr>
          <w:p>
            <w:pPr>
              <w:spacing w:before="149" w:line="183" w:lineRule="auto"/>
              <w:ind w:left="550"/>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2557" w:type="dxa"/>
            <w:vAlign w:val="top"/>
          </w:tcPr>
          <w:p>
            <w:pPr>
              <w:spacing w:before="94" w:line="219" w:lineRule="auto"/>
              <w:ind w:left="225"/>
              <w:rPr>
                <w:rFonts w:ascii="宋体" w:hAnsi="宋体" w:eastAsia="宋体" w:cs="宋体"/>
                <w:sz w:val="21"/>
                <w:szCs w:val="21"/>
              </w:rPr>
            </w:pPr>
            <w:r>
              <w:rPr>
                <w:rFonts w:ascii="宋体" w:hAnsi="宋体" w:eastAsia="宋体" w:cs="宋体"/>
                <w:spacing w:val="5"/>
                <w:sz w:val="21"/>
                <w:szCs w:val="21"/>
              </w:rPr>
              <w:t>五日生化需氧量(</w:t>
            </w:r>
            <w:r>
              <w:rPr>
                <w:rFonts w:ascii="宋体" w:hAnsi="宋体" w:eastAsia="宋体" w:cs="宋体"/>
                <w:sz w:val="21"/>
                <w:szCs w:val="21"/>
              </w:rPr>
              <w:t>BODs</w:t>
            </w:r>
            <w:r>
              <w:rPr>
                <w:rFonts w:ascii="宋体" w:hAnsi="宋体" w:eastAsia="宋体" w:cs="宋体"/>
                <w:spacing w:val="5"/>
                <w:sz w:val="21"/>
                <w:szCs w:val="21"/>
              </w:rPr>
              <w:t>)</w:t>
            </w:r>
          </w:p>
        </w:tc>
        <w:tc>
          <w:tcPr>
            <w:tcW w:w="5004" w:type="dxa"/>
            <w:tcBorders>
              <w:right w:val="nil"/>
            </w:tcBorders>
            <w:vAlign w:val="top"/>
          </w:tcPr>
          <w:p>
            <w:pPr>
              <w:spacing w:before="114" w:line="236" w:lineRule="auto"/>
              <w:ind w:left="2335"/>
              <w:rPr>
                <w:rFonts w:ascii="宋体" w:hAnsi="宋体" w:eastAsia="宋体" w:cs="宋体"/>
                <w:sz w:val="21"/>
                <w:szCs w:val="21"/>
              </w:rPr>
            </w:pPr>
            <w:r>
              <w:rPr>
                <w:rFonts w:ascii="宋体" w:hAnsi="宋体" w:eastAsia="宋体" w:cs="宋体"/>
                <w:spacing w:val="-8"/>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218" w:type="dxa"/>
            <w:tcBorders>
              <w:left w:val="nil"/>
            </w:tcBorders>
            <w:vAlign w:val="top"/>
          </w:tcPr>
          <w:p>
            <w:pPr>
              <w:spacing w:before="162" w:line="182" w:lineRule="auto"/>
              <w:ind w:left="550"/>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2557" w:type="dxa"/>
            <w:vAlign w:val="top"/>
          </w:tcPr>
          <w:p>
            <w:pPr>
              <w:spacing w:before="105" w:line="219" w:lineRule="auto"/>
              <w:ind w:left="645"/>
              <w:rPr>
                <w:rFonts w:ascii="宋体" w:hAnsi="宋体" w:eastAsia="宋体" w:cs="宋体"/>
                <w:sz w:val="21"/>
                <w:szCs w:val="21"/>
              </w:rPr>
            </w:pPr>
            <w:r>
              <w:rPr>
                <w:rFonts w:ascii="宋体" w:hAnsi="宋体" w:eastAsia="宋体" w:cs="宋体"/>
                <w:spacing w:val="19"/>
                <w:sz w:val="21"/>
                <w:szCs w:val="21"/>
              </w:rPr>
              <w:t>氨氮(</w:t>
            </w:r>
            <w:r>
              <w:rPr>
                <w:rFonts w:ascii="宋体" w:hAnsi="宋体" w:eastAsia="宋体" w:cs="宋体"/>
                <w:sz w:val="21"/>
                <w:szCs w:val="21"/>
              </w:rPr>
              <w:t>NH</w:t>
            </w:r>
            <w:r>
              <w:rPr>
                <w:rFonts w:ascii="Calibri" w:hAnsi="Calibri" w:eastAsia="Calibri" w:cs="Calibri"/>
                <w:spacing w:val="19"/>
                <w:sz w:val="21"/>
                <w:szCs w:val="21"/>
              </w:rPr>
              <w:t>₃</w:t>
            </w:r>
            <w:r>
              <w:rPr>
                <w:rFonts w:ascii="宋体" w:hAnsi="宋体" w:eastAsia="宋体" w:cs="宋体"/>
                <w:spacing w:val="19"/>
                <w:sz w:val="21"/>
                <w:szCs w:val="21"/>
              </w:rPr>
              <w:t>-N)</w:t>
            </w:r>
          </w:p>
        </w:tc>
        <w:tc>
          <w:tcPr>
            <w:tcW w:w="5004" w:type="dxa"/>
            <w:tcBorders>
              <w:right w:val="nil"/>
            </w:tcBorders>
            <w:vAlign w:val="top"/>
          </w:tcPr>
          <w:p>
            <w:pPr>
              <w:spacing w:before="125" w:line="236" w:lineRule="auto"/>
              <w:ind w:left="2234"/>
              <w:rPr>
                <w:rFonts w:ascii="宋体" w:hAnsi="宋体" w:eastAsia="宋体" w:cs="宋体"/>
                <w:sz w:val="21"/>
                <w:szCs w:val="21"/>
              </w:rPr>
            </w:pPr>
            <w:r>
              <w:rPr>
                <w:rFonts w:ascii="宋体" w:hAnsi="宋体" w:eastAsia="宋体" w:cs="宋体"/>
                <w:spacing w:val="-6"/>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218" w:type="dxa"/>
            <w:tcBorders>
              <w:left w:val="nil"/>
            </w:tcBorders>
            <w:vAlign w:val="top"/>
          </w:tcPr>
          <w:p>
            <w:pPr>
              <w:spacing w:before="161" w:line="183" w:lineRule="auto"/>
              <w:ind w:left="550"/>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2557" w:type="dxa"/>
            <w:vAlign w:val="top"/>
          </w:tcPr>
          <w:p>
            <w:pPr>
              <w:spacing w:before="107" w:line="219" w:lineRule="auto"/>
              <w:ind w:left="955"/>
              <w:rPr>
                <w:rFonts w:ascii="宋体" w:hAnsi="宋体" w:eastAsia="宋体" w:cs="宋体"/>
                <w:sz w:val="21"/>
                <w:szCs w:val="21"/>
              </w:rPr>
            </w:pPr>
            <w:r>
              <w:rPr>
                <w:rFonts w:ascii="宋体" w:hAnsi="宋体" w:eastAsia="宋体" w:cs="宋体"/>
                <w:spacing w:val="-3"/>
                <w:sz w:val="21"/>
                <w:szCs w:val="21"/>
              </w:rPr>
              <w:t>石油类</w:t>
            </w:r>
          </w:p>
        </w:tc>
        <w:tc>
          <w:tcPr>
            <w:tcW w:w="5004" w:type="dxa"/>
            <w:tcBorders>
              <w:right w:val="nil"/>
            </w:tcBorders>
            <w:vAlign w:val="top"/>
          </w:tcPr>
          <w:p>
            <w:pPr>
              <w:spacing w:before="126" w:line="236" w:lineRule="auto"/>
              <w:ind w:left="2184"/>
              <w:rPr>
                <w:rFonts w:ascii="宋体" w:hAnsi="宋体" w:eastAsia="宋体" w:cs="宋体"/>
                <w:sz w:val="21"/>
                <w:szCs w:val="21"/>
              </w:rPr>
            </w:pPr>
            <w:r>
              <w:rPr>
                <w:rFonts w:ascii="宋体" w:hAnsi="宋体" w:eastAsia="宋体" w:cs="宋体"/>
                <w:spacing w:val="-5"/>
                <w:sz w:val="21"/>
                <w:szCs w:val="21"/>
              </w:rPr>
              <w:t>≤0.05</w:t>
            </w:r>
          </w:p>
        </w:tc>
      </w:tr>
    </w:tbl>
    <w:p>
      <w:pPr>
        <w:keepNext w:val="0"/>
        <w:keepLines w:val="0"/>
        <w:pageBreakBefore w:val="0"/>
        <w:widowControl/>
        <w:kinsoku w:val="0"/>
        <w:wordWrap/>
        <w:overflowPunct/>
        <w:topLinePunct w:val="0"/>
        <w:autoSpaceDE w:val="0"/>
        <w:autoSpaceDN w:val="0"/>
        <w:bidi w:val="0"/>
        <w:adjustRightInd w:val="0"/>
        <w:snapToGrid w:val="0"/>
        <w:spacing w:before="112" w:line="360" w:lineRule="auto"/>
        <w:ind w:firstLine="472" w:firstLineChars="200"/>
        <w:textAlignment w:val="baseline"/>
        <w:rPr>
          <w:rFonts w:ascii="宋体" w:hAnsi="宋体" w:eastAsia="宋体" w:cs="宋体"/>
          <w:sz w:val="24"/>
          <w:szCs w:val="24"/>
        </w:rPr>
      </w:pPr>
      <w:r>
        <w:rPr>
          <w:rFonts w:ascii="宋体" w:hAnsi="宋体" w:eastAsia="宋体" w:cs="宋体"/>
          <w:spacing w:val="-2"/>
          <w:sz w:val="24"/>
          <w:szCs w:val="24"/>
        </w:rPr>
        <w:t>②排放标准</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60" w:firstLineChars="200"/>
        <w:jc w:val="left"/>
        <w:textAlignment w:val="baseline"/>
        <w:rPr>
          <w:rFonts w:ascii="宋体" w:hAnsi="宋体" w:eastAsia="宋体" w:cs="宋体"/>
          <w:sz w:val="24"/>
          <w:szCs w:val="24"/>
        </w:rPr>
      </w:pPr>
      <w:r>
        <w:rPr>
          <w:rFonts w:ascii="宋体" w:hAnsi="宋体" w:eastAsia="宋体" w:cs="宋体"/>
          <w:spacing w:val="-5"/>
          <w:sz w:val="24"/>
          <w:szCs w:val="24"/>
        </w:rPr>
        <w:t>施工期机械设备冲洗和施工车</w:t>
      </w:r>
      <w:r>
        <w:rPr>
          <w:rFonts w:ascii="宋体" w:hAnsi="宋体" w:eastAsia="宋体" w:cs="宋体"/>
          <w:spacing w:val="4"/>
          <w:sz w:val="24"/>
          <w:szCs w:val="24"/>
        </w:rPr>
        <w:t xml:space="preserve"> </w:t>
      </w:r>
      <w:r>
        <w:rPr>
          <w:rFonts w:ascii="宋体" w:hAnsi="宋体" w:eastAsia="宋体" w:cs="宋体"/>
          <w:spacing w:val="-3"/>
          <w:sz w:val="24"/>
          <w:szCs w:val="24"/>
        </w:rPr>
        <w:t>辆冲洗废水经处理后，回用于施工用水，不外排；施工期生活污水</w:t>
      </w:r>
      <w:r>
        <w:rPr>
          <w:rFonts w:hint="eastAsia" w:ascii="宋体" w:hAnsi="宋体" w:eastAsia="宋体" w:cs="宋体"/>
          <w:snapToGrid w:val="0"/>
          <w:color w:val="000000"/>
          <w:kern w:val="0"/>
          <w:sz w:val="24"/>
          <w:szCs w:val="24"/>
          <w:lang w:val="en-US" w:eastAsia="zh-CN" w:bidi="ar"/>
        </w:rPr>
        <w:t>项目施工期租用民房作为施工营地。执行《污水综合排放标准》（</w:t>
      </w:r>
      <w:r>
        <w:rPr>
          <w:rFonts w:ascii="Calibri" w:hAnsi="Calibri" w:eastAsia="宋体" w:cs="Calibri"/>
          <w:snapToGrid w:val="0"/>
          <w:color w:val="000000"/>
          <w:kern w:val="0"/>
          <w:sz w:val="24"/>
          <w:szCs w:val="24"/>
          <w:lang w:val="en-US" w:eastAsia="zh-CN" w:bidi="ar"/>
        </w:rPr>
        <w:t>GB8978-1996</w:t>
      </w:r>
      <w:r>
        <w:rPr>
          <w:rFonts w:hint="eastAsia" w:ascii="宋体" w:hAnsi="宋体" w:eastAsia="宋体" w:cs="宋体"/>
          <w:snapToGrid w:val="0"/>
          <w:color w:val="000000"/>
          <w:kern w:val="0"/>
          <w:sz w:val="24"/>
          <w:szCs w:val="24"/>
          <w:lang w:val="en-US" w:eastAsia="zh-CN" w:bidi="ar"/>
        </w:rPr>
        <w:t>）三级排放标准</w:t>
      </w:r>
      <w:r>
        <w:rPr>
          <w:rFonts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center"/>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表2.4-6 《污水综合排放标准》（GB8978-1996）三级排放标准</w:t>
      </w:r>
    </w:p>
    <w:p>
      <w:pPr>
        <w:spacing w:line="84" w:lineRule="exact"/>
      </w:pPr>
    </w:p>
    <w:tbl>
      <w:tblPr>
        <w:tblStyle w:val="17"/>
        <w:tblW w:w="87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00"/>
        <w:gridCol w:w="4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4400" w:type="dxa"/>
            <w:tcBorders>
              <w:left w:val="nil"/>
            </w:tcBorders>
            <w:vAlign w:val="top"/>
          </w:tcPr>
          <w:p>
            <w:pPr>
              <w:spacing w:before="94" w:line="219" w:lineRule="auto"/>
              <w:ind w:left="225"/>
              <w:jc w:val="center"/>
              <w:rPr>
                <w:rFonts w:ascii="宋体" w:hAnsi="宋体" w:eastAsia="宋体" w:cs="宋体"/>
                <w:spacing w:val="5"/>
                <w:sz w:val="21"/>
                <w:szCs w:val="21"/>
              </w:rPr>
            </w:pPr>
            <w:r>
              <w:rPr>
                <w:rFonts w:ascii="宋体" w:hAnsi="宋体" w:eastAsia="宋体" w:cs="宋体"/>
                <w:spacing w:val="5"/>
                <w:sz w:val="21"/>
                <w:szCs w:val="21"/>
              </w:rPr>
              <w:t>项 目</w:t>
            </w:r>
          </w:p>
        </w:tc>
        <w:tc>
          <w:tcPr>
            <w:tcW w:w="4390" w:type="dxa"/>
            <w:tcBorders>
              <w:right w:val="nil"/>
            </w:tcBorders>
            <w:vAlign w:val="top"/>
          </w:tcPr>
          <w:p>
            <w:pPr>
              <w:spacing w:before="94" w:line="219" w:lineRule="auto"/>
              <w:ind w:left="225"/>
              <w:jc w:val="center"/>
              <w:rPr>
                <w:rFonts w:ascii="宋体" w:hAnsi="宋体" w:eastAsia="宋体" w:cs="宋体"/>
                <w:spacing w:val="5"/>
                <w:sz w:val="21"/>
                <w:szCs w:val="21"/>
              </w:rPr>
            </w:pPr>
            <w:r>
              <w:rPr>
                <w:rFonts w:ascii="宋体" w:hAnsi="宋体" w:eastAsia="宋体" w:cs="宋体"/>
                <w:spacing w:val="5"/>
                <w:sz w:val="21"/>
                <w:szCs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4400" w:type="dxa"/>
            <w:tcBorders>
              <w:left w:val="nil"/>
            </w:tcBorders>
            <w:vAlign w:val="top"/>
          </w:tcPr>
          <w:p>
            <w:pPr>
              <w:spacing w:before="94" w:line="219" w:lineRule="auto"/>
              <w:ind w:left="225"/>
              <w:jc w:val="center"/>
              <w:rPr>
                <w:rFonts w:ascii="宋体" w:hAnsi="宋体" w:eastAsia="宋体" w:cs="宋体"/>
                <w:spacing w:val="5"/>
                <w:sz w:val="21"/>
                <w:szCs w:val="21"/>
              </w:rPr>
            </w:pPr>
            <w:r>
              <w:rPr>
                <w:rFonts w:ascii="宋体" w:hAnsi="宋体" w:eastAsia="宋体" w:cs="宋体"/>
                <w:spacing w:val="5"/>
                <w:sz w:val="21"/>
                <w:szCs w:val="21"/>
              </w:rPr>
              <w:t>pH</w:t>
            </w:r>
          </w:p>
        </w:tc>
        <w:tc>
          <w:tcPr>
            <w:tcW w:w="4390" w:type="dxa"/>
            <w:tcBorders>
              <w:right w:val="nil"/>
            </w:tcBorders>
            <w:vAlign w:val="top"/>
          </w:tcPr>
          <w:p>
            <w:pPr>
              <w:spacing w:before="94" w:line="219" w:lineRule="auto"/>
              <w:ind w:left="225" w:firstLine="1760" w:firstLineChars="800"/>
              <w:jc w:val="both"/>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400" w:type="dxa"/>
            <w:tcBorders>
              <w:left w:val="nil"/>
            </w:tcBorders>
            <w:vAlign w:val="top"/>
          </w:tcPr>
          <w:p>
            <w:pPr>
              <w:spacing w:before="65" w:line="214" w:lineRule="auto"/>
              <w:ind w:left="1249"/>
              <w:rPr>
                <w:rFonts w:ascii="宋体" w:hAnsi="宋体" w:eastAsia="宋体" w:cs="宋体"/>
                <w:sz w:val="21"/>
                <w:szCs w:val="21"/>
              </w:rPr>
            </w:pPr>
            <w:r>
              <w:rPr>
                <w:rFonts w:ascii="宋体" w:hAnsi="宋体" w:eastAsia="宋体" w:cs="宋体"/>
                <w:spacing w:val="2"/>
                <w:sz w:val="21"/>
                <w:szCs w:val="21"/>
              </w:rPr>
              <w:t>化学需氧量(</w:t>
            </w:r>
            <w:r>
              <w:rPr>
                <w:rFonts w:ascii="宋体" w:hAnsi="宋体" w:eastAsia="宋体" w:cs="宋体"/>
                <w:sz w:val="21"/>
                <w:szCs w:val="21"/>
              </w:rPr>
              <w:t>mg</w:t>
            </w:r>
            <w:r>
              <w:rPr>
                <w:rFonts w:ascii="宋体" w:hAnsi="宋体" w:eastAsia="宋体" w:cs="宋体"/>
                <w:spacing w:val="2"/>
                <w:sz w:val="21"/>
                <w:szCs w:val="21"/>
              </w:rPr>
              <w:t>/1)≤</w:t>
            </w:r>
          </w:p>
        </w:tc>
        <w:tc>
          <w:tcPr>
            <w:tcW w:w="4390" w:type="dxa"/>
            <w:tcBorders>
              <w:right w:val="nil"/>
            </w:tcBorders>
            <w:vAlign w:val="top"/>
          </w:tcPr>
          <w:p>
            <w:pPr>
              <w:spacing w:before="126" w:line="183" w:lineRule="auto"/>
              <w:ind w:left="2025"/>
              <w:rPr>
                <w:rFonts w:hint="default" w:ascii="宋体" w:hAnsi="宋体" w:eastAsia="宋体" w:cs="宋体"/>
                <w:sz w:val="21"/>
                <w:szCs w:val="21"/>
                <w:lang w:val="en-US" w:eastAsia="zh-CN"/>
              </w:rPr>
            </w:pPr>
            <w:r>
              <w:rPr>
                <w:rFonts w:hint="eastAsia" w:ascii="宋体" w:hAnsi="宋体" w:eastAsia="宋体" w:cs="宋体"/>
                <w:spacing w:val="-3"/>
                <w:sz w:val="21"/>
                <w:szCs w:val="21"/>
                <w:lang w:val="en-US" w:eastAsia="zh-CN"/>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4400" w:type="dxa"/>
            <w:tcBorders>
              <w:left w:val="nil"/>
            </w:tcBorders>
            <w:vAlign w:val="top"/>
          </w:tcPr>
          <w:p>
            <w:pPr>
              <w:spacing w:before="57" w:line="214" w:lineRule="auto"/>
              <w:ind w:left="1249"/>
              <w:rPr>
                <w:rFonts w:ascii="宋体" w:hAnsi="宋体" w:eastAsia="宋体" w:cs="宋体"/>
                <w:sz w:val="21"/>
                <w:szCs w:val="21"/>
              </w:rPr>
            </w:pPr>
            <w:r>
              <w:rPr>
                <w:rFonts w:ascii="宋体" w:hAnsi="宋体" w:eastAsia="宋体" w:cs="宋体"/>
                <w:spacing w:val="2"/>
                <w:sz w:val="21"/>
                <w:szCs w:val="21"/>
              </w:rPr>
              <w:t>生化需氧量(</w:t>
            </w:r>
            <w:r>
              <w:rPr>
                <w:rFonts w:ascii="宋体" w:hAnsi="宋体" w:eastAsia="宋体" w:cs="宋体"/>
                <w:sz w:val="21"/>
                <w:szCs w:val="21"/>
              </w:rPr>
              <w:t>mg</w:t>
            </w:r>
            <w:r>
              <w:rPr>
                <w:rFonts w:ascii="宋体" w:hAnsi="宋体" w:eastAsia="宋体" w:cs="宋体"/>
                <w:spacing w:val="2"/>
                <w:sz w:val="21"/>
                <w:szCs w:val="21"/>
              </w:rPr>
              <w:t>/1)≤</w:t>
            </w:r>
          </w:p>
        </w:tc>
        <w:tc>
          <w:tcPr>
            <w:tcW w:w="4390" w:type="dxa"/>
            <w:tcBorders>
              <w:right w:val="nil"/>
            </w:tcBorders>
            <w:vAlign w:val="top"/>
          </w:tcPr>
          <w:p>
            <w:pPr>
              <w:spacing w:before="117" w:line="184" w:lineRule="auto"/>
              <w:ind w:left="2025"/>
              <w:rPr>
                <w:rFonts w:hint="default" w:ascii="宋体" w:hAnsi="宋体" w:eastAsia="宋体" w:cs="宋体"/>
                <w:sz w:val="21"/>
                <w:szCs w:val="21"/>
                <w:lang w:val="en-US" w:eastAsia="zh-CN"/>
              </w:rPr>
            </w:pPr>
            <w:r>
              <w:rPr>
                <w:rFonts w:hint="eastAsia" w:ascii="宋体" w:hAnsi="宋体" w:eastAsia="宋体" w:cs="宋体"/>
                <w:spacing w:val="-6"/>
                <w:sz w:val="21"/>
                <w:szCs w:val="21"/>
                <w:lang w:val="en-US" w:eastAsia="zh-CN"/>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4400" w:type="dxa"/>
            <w:tcBorders>
              <w:left w:val="nil"/>
            </w:tcBorders>
            <w:vAlign w:val="top"/>
          </w:tcPr>
          <w:p>
            <w:pPr>
              <w:spacing w:before="69" w:line="214" w:lineRule="auto"/>
              <w:ind w:left="1460"/>
              <w:rPr>
                <w:rFonts w:ascii="宋体" w:hAnsi="宋体" w:eastAsia="宋体" w:cs="宋体"/>
                <w:sz w:val="21"/>
                <w:szCs w:val="21"/>
              </w:rPr>
            </w:pPr>
            <w:r>
              <w:rPr>
                <w:rFonts w:ascii="宋体" w:hAnsi="宋体" w:eastAsia="宋体" w:cs="宋体"/>
                <w:spacing w:val="2"/>
                <w:sz w:val="21"/>
                <w:szCs w:val="21"/>
              </w:rPr>
              <w:t>悬浮物(</w:t>
            </w:r>
            <w:r>
              <w:rPr>
                <w:rFonts w:ascii="宋体" w:hAnsi="宋体" w:eastAsia="宋体" w:cs="宋体"/>
                <w:sz w:val="21"/>
                <w:szCs w:val="21"/>
              </w:rPr>
              <w:t>mg</w:t>
            </w:r>
            <w:r>
              <w:rPr>
                <w:rFonts w:ascii="宋体" w:hAnsi="宋体" w:eastAsia="宋体" w:cs="宋体"/>
                <w:spacing w:val="2"/>
                <w:sz w:val="21"/>
                <w:szCs w:val="21"/>
              </w:rPr>
              <w:t>/1)≤</w:t>
            </w:r>
          </w:p>
        </w:tc>
        <w:tc>
          <w:tcPr>
            <w:tcW w:w="4390" w:type="dxa"/>
            <w:tcBorders>
              <w:right w:val="nil"/>
            </w:tcBorders>
            <w:vAlign w:val="top"/>
          </w:tcPr>
          <w:p>
            <w:pPr>
              <w:spacing w:before="129" w:line="184" w:lineRule="auto"/>
              <w:ind w:left="2025"/>
              <w:rPr>
                <w:rFonts w:hint="default" w:ascii="宋体" w:hAnsi="宋体" w:eastAsia="宋体" w:cs="宋体"/>
                <w:sz w:val="21"/>
                <w:szCs w:val="21"/>
                <w:lang w:val="en-US" w:eastAsia="zh-CN"/>
              </w:rPr>
            </w:pPr>
            <w:r>
              <w:rPr>
                <w:rFonts w:hint="eastAsia" w:ascii="宋体" w:hAnsi="宋体" w:eastAsia="宋体" w:cs="宋体"/>
                <w:spacing w:val="-6"/>
                <w:sz w:val="21"/>
                <w:szCs w:val="21"/>
                <w:lang w:val="en-US" w:eastAsia="zh-CN"/>
              </w:rPr>
              <w:t>400</w:t>
            </w:r>
          </w:p>
        </w:tc>
      </w:tr>
    </w:tbl>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pPr>
      <w:bookmarkStart w:id="6" w:name="_Toc1251"/>
      <w:r>
        <w:rPr>
          <w:rFonts w:hint="eastAsia"/>
          <w:b/>
          <w:sz w:val="28"/>
          <w:szCs w:val="20"/>
        </w:rPr>
        <w:t>2.5 环境敏感目标</w:t>
      </w:r>
      <w:bookmarkEnd w:id="6"/>
    </w:p>
    <w:p>
      <w:pPr>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宋体" w:hAnsi="宋体" w:eastAsia="宋体" w:cs="宋体"/>
          <w:color w:val="auto"/>
          <w:spacing w:val="-6"/>
          <w:sz w:val="24"/>
          <w:szCs w:val="24"/>
          <w:lang w:val="en-US" w:eastAsia="zh-CN"/>
        </w:rPr>
        <w:sectPr>
          <w:footerReference r:id="rId8" w:type="default"/>
          <w:pgSz w:w="11900" w:h="16840"/>
          <w:pgMar w:top="1046" w:right="1549" w:bottom="1345" w:left="1559" w:header="857" w:footer="1196" w:gutter="0"/>
          <w:pgNumType w:fmt="decimal" w:start="1"/>
          <w:cols w:space="720" w:num="1"/>
        </w:sectPr>
      </w:pPr>
      <w:r>
        <w:rPr>
          <w:rFonts w:ascii="宋体" w:hAnsi="宋体" w:eastAsia="宋体" w:cs="宋体"/>
          <w:color w:val="auto"/>
          <w:spacing w:val="-6"/>
          <w:sz w:val="24"/>
          <w:szCs w:val="24"/>
        </w:rPr>
        <w:t>工程环境保护目标分布见</w:t>
      </w:r>
      <w:r>
        <w:rPr>
          <w:rFonts w:hint="eastAsia" w:ascii="宋体" w:hAnsi="宋体" w:eastAsia="宋体" w:cs="宋体"/>
          <w:color w:val="auto"/>
          <w:spacing w:val="-6"/>
          <w:sz w:val="24"/>
          <w:szCs w:val="24"/>
          <w:lang w:val="en-US" w:eastAsia="zh-CN"/>
        </w:rPr>
        <w:t>下表。</w:t>
      </w:r>
    </w:p>
    <w:p>
      <w:pPr>
        <w:pStyle w:val="18"/>
        <w:kinsoku w:val="0"/>
        <w:overflowPunct w:val="0"/>
        <w:spacing w:beforeLines="0" w:afterLines="0"/>
        <w:rPr>
          <w:rFonts w:hint="default" w:ascii="Times New Roman" w:hAnsi="Times New Roman" w:eastAsia="Times New Roman"/>
          <w:sz w:val="20"/>
          <w:szCs w:val="24"/>
        </w:rPr>
      </w:pPr>
      <w:r>
        <w:rPr>
          <w:rFonts w:hint="default" w:ascii="Times New Roman" w:hAnsi="Times New Roman" w:eastAsia="Times New Roman"/>
          <w:sz w:val="20"/>
          <w:szCs w:val="24"/>
        </w:rPr>
        <mc:AlternateContent>
          <mc:Choice Requires="wps">
            <w:drawing>
              <wp:inline distT="0" distB="0" distL="114300" distR="114300">
                <wp:extent cx="8944610" cy="12700"/>
                <wp:effectExtent l="0" t="0" r="0" b="0"/>
                <wp:docPr id="7" name="任意多边形 5"/>
                <wp:cNvGraphicFramePr/>
                <a:graphic xmlns:a="http://schemas.openxmlformats.org/drawingml/2006/main">
                  <a:graphicData uri="http://schemas.microsoft.com/office/word/2010/wordprocessingShape">
                    <wps:wsp>
                      <wps:cNvSpPr/>
                      <wps:spPr>
                        <a:xfrm>
                          <a:off x="0" y="0"/>
                          <a:ext cx="8944610" cy="12700"/>
                        </a:xfrm>
                        <a:custGeom>
                          <a:avLst/>
                          <a:gdLst/>
                          <a:ahLst/>
                          <a:cxnLst/>
                          <a:pathLst>
                            <a:path w="14086" h="20">
                              <a:moveTo>
                                <a:pt x="0" y="0"/>
                              </a:moveTo>
                              <a:lnTo>
                                <a:pt x="14085" y="0"/>
                              </a:lnTo>
                            </a:path>
                          </a:pathLst>
                        </a:custGeom>
                        <a:noFill/>
                        <a:ln w="6095" cap="flat" cmpd="sng">
                          <a:solidFill>
                            <a:srgbClr val="000000"/>
                          </a:solidFill>
                          <a:prstDash val="solid"/>
                          <a:headEnd type="none" w="med" len="med"/>
                          <a:tailEnd type="none" w="med" len="med"/>
                        </a:ln>
                      </wps:spPr>
                      <wps:bodyPr wrap="square" upright="1"/>
                    </wps:wsp>
                  </a:graphicData>
                </a:graphic>
              </wp:inline>
            </w:drawing>
          </mc:Choice>
          <mc:Fallback>
            <w:pict>
              <v:shape id="任意多边形 5" o:spid="_x0000_s1026" o:spt="100" style="height:1pt;width:704.3pt;" filled="f" stroked="t" coordsize="14086,20" o:gfxdata="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brXZXWAAAABAEAAA8AAAAAAAAAAQAgAAAAIgAAAGRy&#10;cy9kb3ducmV2LnhtbFBLAQIUABQAAAAIAIdO4kCo267eQAIAAJ0EAAAOAAAAAAAAAAEAIAAAACUB&#10;AABkcnMvZTJvRG9jLnhtbFBLBQYAAAAABgAGAFkBAADXBQAAAAA=&#10;" path="m0,0l14085,0e">
                <v:fill on="f" focussize="0,0"/>
                <v:stroke weight="0.47992125984252pt" color="#000000" joinstyle="round"/>
                <v:imagedata o:title=""/>
                <o:lock v:ext="edit" aspectratio="f"/>
                <w10:wrap type="none"/>
                <w10:anchorlock/>
              </v:shape>
            </w:pict>
          </mc:Fallback>
        </mc:AlternateContent>
      </w:r>
    </w:p>
    <w:p>
      <w:pPr>
        <w:pStyle w:val="18"/>
        <w:keepNext w:val="0"/>
        <w:keepLines w:val="0"/>
        <w:pageBreakBefore w:val="0"/>
        <w:widowControl/>
        <w:kinsoku w:val="0"/>
        <w:wordWrap/>
        <w:overflowPunct w:val="0"/>
        <w:topLinePunct w:val="0"/>
        <w:autoSpaceDE w:val="0"/>
        <w:autoSpaceDN w:val="0"/>
        <w:bidi w:val="0"/>
        <w:adjustRightInd w:val="0"/>
        <w:snapToGrid w:val="0"/>
        <w:spacing w:beforeLines="0" w:afterLines="0" w:line="240" w:lineRule="atLeast"/>
        <w:ind w:left="0"/>
        <w:textAlignment w:val="baseline"/>
        <w:rPr>
          <w:rFonts w:hint="default" w:ascii="Times New Roman" w:hAnsi="Times New Roman" w:eastAsia="Times New Roman"/>
          <w:sz w:val="2"/>
          <w:szCs w:val="24"/>
        </w:rPr>
      </w:pPr>
    </w:p>
    <w:tbl>
      <w:tblPr>
        <w:tblStyle w:val="13"/>
        <w:tblW w:w="14656" w:type="dxa"/>
        <w:tblInd w:w="2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3"/>
        <w:gridCol w:w="683"/>
        <w:gridCol w:w="2475"/>
        <w:gridCol w:w="1485"/>
        <w:gridCol w:w="1395"/>
        <w:gridCol w:w="1185"/>
        <w:gridCol w:w="2175"/>
        <w:gridCol w:w="1007"/>
        <w:gridCol w:w="1018"/>
        <w:gridCol w:w="1353"/>
        <w:gridCol w:w="10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843"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路段</w:t>
            </w:r>
          </w:p>
        </w:tc>
        <w:tc>
          <w:tcPr>
            <w:tcW w:w="683"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序号</w:t>
            </w:r>
          </w:p>
        </w:tc>
        <w:tc>
          <w:tcPr>
            <w:tcW w:w="2475"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敏感点</w:t>
            </w:r>
          </w:p>
        </w:tc>
        <w:tc>
          <w:tcPr>
            <w:tcW w:w="1485"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方位</w:t>
            </w:r>
          </w:p>
        </w:tc>
        <w:tc>
          <w:tcPr>
            <w:tcW w:w="1395"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首排房屋距道路红线线距离（</w:t>
            </w:r>
            <w:r>
              <w:rPr>
                <w:rFonts w:hint="default" w:ascii="宋体" w:hAnsi="宋体" w:eastAsia="宋体" w:cs="宋体"/>
                <w:spacing w:val="5"/>
                <w:sz w:val="21"/>
                <w:szCs w:val="21"/>
                <w:lang w:val="en-US" w:eastAsia="zh-CN"/>
              </w:rPr>
              <w:t>m</w:t>
            </w:r>
            <w:r>
              <w:rPr>
                <w:rFonts w:hint="eastAsia" w:ascii="宋体" w:hAnsi="宋体" w:eastAsia="宋体" w:cs="宋体"/>
                <w:spacing w:val="5"/>
                <w:sz w:val="21"/>
                <w:szCs w:val="21"/>
                <w:lang w:val="en-US" w:eastAsia="zh-CN"/>
              </w:rPr>
              <w:t>）</w:t>
            </w:r>
          </w:p>
        </w:tc>
        <w:tc>
          <w:tcPr>
            <w:tcW w:w="1185"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首排房屋距道路中心线距离（</w:t>
            </w:r>
            <w:r>
              <w:rPr>
                <w:rFonts w:hint="default" w:ascii="宋体" w:hAnsi="宋体" w:eastAsia="宋体" w:cs="宋体"/>
                <w:spacing w:val="5"/>
                <w:sz w:val="21"/>
                <w:szCs w:val="21"/>
                <w:lang w:val="en-US" w:eastAsia="zh-CN"/>
              </w:rPr>
              <w:t>m</w:t>
            </w:r>
            <w:r>
              <w:rPr>
                <w:rFonts w:hint="eastAsia" w:ascii="宋体" w:hAnsi="宋体" w:eastAsia="宋体" w:cs="宋体"/>
                <w:spacing w:val="5"/>
                <w:sz w:val="21"/>
                <w:szCs w:val="21"/>
                <w:lang w:val="en-US" w:eastAsia="zh-CN"/>
              </w:rPr>
              <w:t>）</w:t>
            </w:r>
          </w:p>
        </w:tc>
        <w:tc>
          <w:tcPr>
            <w:tcW w:w="2175"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保护规模</w:t>
            </w:r>
          </w:p>
        </w:tc>
        <w:tc>
          <w:tcPr>
            <w:tcW w:w="1007"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环境空气保护级别</w:t>
            </w:r>
          </w:p>
        </w:tc>
        <w:tc>
          <w:tcPr>
            <w:tcW w:w="2371"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声环境保护级别</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2475"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485"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395"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185"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2175"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07"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4a </w:t>
            </w:r>
            <w:r>
              <w:rPr>
                <w:rFonts w:hint="eastAsia" w:ascii="宋体" w:hAnsi="宋体" w:eastAsia="宋体" w:cs="宋体"/>
                <w:spacing w:val="5"/>
                <w:sz w:val="21"/>
                <w:szCs w:val="21"/>
                <w:lang w:val="en-US" w:eastAsia="zh-CN"/>
              </w:rPr>
              <w:t>类</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2 </w:t>
            </w:r>
            <w:r>
              <w:rPr>
                <w:rFonts w:hint="eastAsia" w:ascii="宋体" w:hAnsi="宋体" w:eastAsia="宋体" w:cs="宋体"/>
                <w:spacing w:val="5"/>
                <w:sz w:val="21"/>
                <w:szCs w:val="21"/>
                <w:lang w:val="en-US" w:eastAsia="zh-CN"/>
              </w:rPr>
              <w:t>类</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C </w:t>
            </w:r>
            <w:r>
              <w:rPr>
                <w:rFonts w:hint="eastAsia" w:ascii="宋体" w:hAnsi="宋体" w:eastAsia="宋体" w:cs="宋体"/>
                <w:spacing w:val="5"/>
                <w:sz w:val="21"/>
                <w:szCs w:val="21"/>
                <w:lang w:val="en-US" w:eastAsia="zh-CN"/>
              </w:rPr>
              <w:t>段</w:t>
            </w: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w:t>
            </w:r>
          </w:p>
        </w:tc>
        <w:tc>
          <w:tcPr>
            <w:tcW w:w="2475"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 xml:space="preserve">凤鸣村 </w:t>
            </w:r>
            <w:r>
              <w:rPr>
                <w:rFonts w:hint="default" w:ascii="宋体" w:hAnsi="宋体" w:eastAsia="宋体" w:cs="宋体"/>
                <w:spacing w:val="5"/>
                <w:sz w:val="21"/>
                <w:szCs w:val="21"/>
                <w:lang w:val="en-US" w:eastAsia="zh-CN"/>
              </w:rPr>
              <w:t xml:space="preserve">3 </w:t>
            </w:r>
            <w:r>
              <w:rPr>
                <w:rFonts w:hint="eastAsia" w:ascii="宋体" w:hAnsi="宋体" w:eastAsia="宋体" w:cs="宋体"/>
                <w:spacing w:val="5"/>
                <w:sz w:val="21"/>
                <w:szCs w:val="21"/>
                <w:lang w:val="en-US" w:eastAsia="zh-CN"/>
              </w:rPr>
              <w:t>组农户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1~3F</w:t>
            </w:r>
          </w:p>
        </w:tc>
        <w:tc>
          <w:tcPr>
            <w:tcW w:w="1007" w:type="dxa"/>
            <w:vMerge w:val="restart"/>
            <w:tcBorders>
              <w:top w:val="single" w:color="000000" w:sz="6" w:space="0"/>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 xml:space="preserve">满足 </w:t>
            </w:r>
            <w:r>
              <w:rPr>
                <w:rFonts w:hint="default" w:ascii="宋体" w:hAnsi="宋体" w:eastAsia="宋体" w:cs="宋体"/>
                <w:spacing w:val="5"/>
                <w:sz w:val="21"/>
                <w:szCs w:val="21"/>
                <w:lang w:val="en-US" w:eastAsia="zh-CN"/>
              </w:rPr>
              <w:t>(GB3095</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-2012)</w:t>
            </w:r>
            <w:r>
              <w:rPr>
                <w:rFonts w:hint="eastAsia" w:ascii="宋体" w:hAnsi="宋体" w:eastAsia="宋体" w:cs="宋体"/>
                <w:spacing w:val="5"/>
                <w:sz w:val="21"/>
                <w:szCs w:val="21"/>
                <w:lang w:val="en-US" w:eastAsia="zh-CN"/>
              </w:rPr>
              <w:t>中二级</w:t>
            </w: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10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2</w:t>
            </w:r>
          </w:p>
        </w:tc>
        <w:tc>
          <w:tcPr>
            <w:tcW w:w="2475"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120</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154</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8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8 </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3</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 xml:space="preserve">凤鸣村 </w:t>
            </w:r>
            <w:r>
              <w:rPr>
                <w:rFonts w:hint="default" w:ascii="宋体" w:hAnsi="宋体" w:eastAsia="宋体" w:cs="宋体"/>
                <w:spacing w:val="5"/>
                <w:sz w:val="21"/>
                <w:szCs w:val="21"/>
                <w:lang w:val="en-US" w:eastAsia="zh-CN"/>
              </w:rPr>
              <w:t xml:space="preserve">4 </w:t>
            </w:r>
            <w:r>
              <w:rPr>
                <w:rFonts w:hint="eastAsia" w:ascii="宋体" w:hAnsi="宋体" w:eastAsia="宋体" w:cs="宋体"/>
                <w:spacing w:val="5"/>
                <w:sz w:val="21"/>
                <w:szCs w:val="21"/>
                <w:lang w:val="en-US" w:eastAsia="zh-CN"/>
              </w:rPr>
              <w:t>组农户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12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12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 xml:space="preserve">凤鸣村 </w:t>
            </w:r>
            <w:r>
              <w:rPr>
                <w:rFonts w:hint="default" w:ascii="宋体" w:hAnsi="宋体" w:eastAsia="宋体" w:cs="宋体"/>
                <w:spacing w:val="5"/>
                <w:sz w:val="21"/>
                <w:szCs w:val="21"/>
                <w:lang w:val="en-US" w:eastAsia="zh-CN"/>
              </w:rPr>
              <w:t xml:space="preserve">5 </w:t>
            </w:r>
            <w:r>
              <w:rPr>
                <w:rFonts w:hint="eastAsia" w:ascii="宋体" w:hAnsi="宋体" w:eastAsia="宋体" w:cs="宋体"/>
                <w:spacing w:val="5"/>
                <w:sz w:val="21"/>
                <w:szCs w:val="21"/>
                <w:lang w:val="en-US" w:eastAsia="zh-CN"/>
              </w:rPr>
              <w:t>组农户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南面、北面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11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F~5F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11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5</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 xml:space="preserve">凤鸣村 </w:t>
            </w:r>
            <w:r>
              <w:rPr>
                <w:rFonts w:hint="default" w:ascii="宋体" w:hAnsi="宋体" w:eastAsia="宋体" w:cs="宋体"/>
                <w:spacing w:val="5"/>
                <w:sz w:val="21"/>
                <w:szCs w:val="21"/>
                <w:lang w:val="en-US" w:eastAsia="zh-CN"/>
              </w:rPr>
              <w:t xml:space="preserve">7 </w:t>
            </w:r>
            <w:r>
              <w:rPr>
                <w:rFonts w:hint="eastAsia" w:ascii="宋体" w:hAnsi="宋体" w:eastAsia="宋体" w:cs="宋体"/>
                <w:spacing w:val="5"/>
                <w:sz w:val="21"/>
                <w:szCs w:val="21"/>
                <w:lang w:val="en-US" w:eastAsia="zh-CN"/>
              </w:rPr>
              <w:t>组农户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20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20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6</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叶家湾农户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25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59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18</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6F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18 </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7</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六房村农户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5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5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8</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回龙村农户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6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6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top w:val="nil"/>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9</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 xml:space="preserve">回龙村 </w:t>
            </w:r>
            <w:r>
              <w:rPr>
                <w:rFonts w:hint="default" w:ascii="宋体" w:hAnsi="宋体" w:eastAsia="宋体" w:cs="宋体"/>
                <w:spacing w:val="5"/>
                <w:sz w:val="21"/>
                <w:szCs w:val="21"/>
                <w:lang w:val="en-US" w:eastAsia="zh-CN"/>
              </w:rPr>
              <w:t xml:space="preserve">2 </w:t>
            </w:r>
            <w:r>
              <w:rPr>
                <w:rFonts w:hint="eastAsia" w:ascii="宋体" w:hAnsi="宋体" w:eastAsia="宋体" w:cs="宋体"/>
                <w:spacing w:val="5"/>
                <w:sz w:val="21"/>
                <w:szCs w:val="21"/>
                <w:lang w:val="en-US" w:eastAsia="zh-CN"/>
              </w:rPr>
              <w:t>组农户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15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15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restart"/>
            <w:tcBorders>
              <w:top w:val="single" w:color="000000" w:sz="6" w:space="0"/>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D </w:t>
            </w:r>
            <w:r>
              <w:rPr>
                <w:rFonts w:hint="eastAsia" w:ascii="宋体" w:hAnsi="宋体" w:eastAsia="宋体" w:cs="宋体"/>
                <w:spacing w:val="5"/>
                <w:sz w:val="21"/>
                <w:szCs w:val="21"/>
                <w:lang w:val="en-US" w:eastAsia="zh-CN"/>
              </w:rPr>
              <w:t>段</w:t>
            </w: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10</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重滩村农户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16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F~5F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16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11</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长土镇场镇居民</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1000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 ~3F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1000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12</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黄角村农户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东北面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5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5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13</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石牛村农户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20</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54</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20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20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14</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金鱼村农户</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49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6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1 F~5F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6 </w:t>
            </w:r>
            <w:r>
              <w:rPr>
                <w:rFonts w:hint="eastAsia" w:ascii="宋体" w:hAnsi="宋体" w:eastAsia="宋体" w:cs="宋体"/>
                <w:spacing w:val="5"/>
                <w:sz w:val="21"/>
                <w:szCs w:val="21"/>
                <w:lang w:val="en-US" w:eastAsia="zh-CN"/>
              </w:rPr>
              <w:t>户</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15</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南湖生态城小区</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30</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64</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1200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6F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1200</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16</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华景苑小区</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35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69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1100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6F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1100</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17</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正黄翡翠小区</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35</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69</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2000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33F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2000</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18</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汇东实验学校</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160</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194</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1800</w:t>
            </w:r>
            <w:r>
              <w:rPr>
                <w:rFonts w:hint="eastAsia" w:ascii="宋体" w:hAnsi="宋体" w:eastAsia="宋体" w:cs="宋体"/>
                <w:spacing w:val="5"/>
                <w:sz w:val="21"/>
                <w:szCs w:val="21"/>
                <w:lang w:val="en-US" w:eastAsia="zh-CN"/>
              </w:rPr>
              <w:t>人</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1800</w:t>
            </w:r>
            <w:r>
              <w:rPr>
                <w:rFonts w:hint="eastAsia" w:ascii="宋体" w:hAnsi="宋体" w:eastAsia="宋体" w:cs="宋体"/>
                <w:spacing w:val="5"/>
                <w:sz w:val="21"/>
                <w:szCs w:val="21"/>
                <w:lang w:val="en-US" w:eastAsia="zh-CN"/>
              </w:rPr>
              <w:t>人</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原有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19</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西南医科大学附属医院</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40</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64</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2000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33F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2000</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20</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瑞和盛景小区</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43</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77</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 xml:space="preserve">2000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33F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both"/>
              <w:textAlignment w:val="baseline"/>
              <w:rPr>
                <w:rFonts w:hint="default" w:ascii="宋体" w:hAnsi="宋体" w:eastAsia="宋体" w:cs="宋体"/>
                <w:spacing w:val="5"/>
                <w:sz w:val="21"/>
                <w:szCs w:val="21"/>
                <w:lang w:val="en-US" w:eastAsia="zh-CN"/>
              </w:rPr>
            </w:pPr>
            <w:r>
              <w:rPr>
                <w:rFonts w:hint="default" w:ascii="宋体" w:hAnsi="宋体" w:eastAsia="宋体" w:cs="宋体"/>
                <w:spacing w:val="5"/>
                <w:sz w:val="21"/>
                <w:szCs w:val="21"/>
                <w:lang w:val="en-US" w:eastAsia="zh-CN"/>
              </w:rPr>
              <w:t>2000</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5"/>
                <w:sz w:val="21"/>
                <w:szCs w:val="21"/>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21</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泰丰国际小区</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eastAsia" w:ascii="宋体" w:hAnsi="宋体" w:eastAsia="宋体" w:cs="宋体"/>
                <w:spacing w:val="5"/>
                <w:sz w:val="21"/>
                <w:szCs w:val="21"/>
              </w:rPr>
            </w:pPr>
            <w:r>
              <w:rPr>
                <w:rFonts w:hint="eastAsia" w:ascii="宋体" w:hAnsi="宋体" w:eastAsia="宋体" w:cs="宋体"/>
                <w:spacing w:val="5"/>
                <w:sz w:val="21"/>
                <w:szCs w:val="21"/>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44</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78</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rPr>
            </w:pPr>
            <w:r>
              <w:rPr>
                <w:rFonts w:hint="default" w:ascii="宋体" w:hAnsi="宋体" w:eastAsia="宋体" w:cs="宋体"/>
                <w:spacing w:val="5"/>
                <w:sz w:val="21"/>
                <w:szCs w:val="21"/>
                <w:lang w:val="en-US" w:eastAsia="zh-CN"/>
              </w:rPr>
              <w:t xml:space="preserve">2000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33F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left"/>
              <w:textAlignment w:val="baseline"/>
              <w:rPr>
                <w:rFonts w:hint="default" w:ascii="宋体" w:hAnsi="宋体" w:eastAsia="宋体" w:cs="宋体"/>
                <w:spacing w:val="5"/>
                <w:sz w:val="21"/>
                <w:szCs w:val="21"/>
              </w:rPr>
            </w:pPr>
            <w:r>
              <w:rPr>
                <w:rFonts w:hint="default" w:ascii="宋体" w:hAnsi="宋体" w:eastAsia="宋体" w:cs="宋体"/>
                <w:spacing w:val="5"/>
                <w:sz w:val="21"/>
                <w:szCs w:val="21"/>
                <w:lang w:val="en-US" w:eastAsia="zh-CN"/>
              </w:rPr>
              <w:t>2000</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rPr>
            </w:pPr>
            <w:r>
              <w:rPr>
                <w:rFonts w:hint="eastAsia" w:ascii="宋体" w:hAnsi="宋体" w:eastAsia="宋体" w:cs="宋体"/>
                <w:spacing w:val="5"/>
                <w:sz w:val="21"/>
                <w:szCs w:val="21"/>
                <w:lang w:val="en-US" w:eastAsia="zh-CN"/>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trPr>
        <w:tc>
          <w:tcPr>
            <w:tcW w:w="843"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5"/>
                <w:sz w:val="21"/>
                <w:szCs w:val="21"/>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22</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绿地新里城</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eastAsia" w:ascii="宋体" w:hAnsi="宋体" w:eastAsia="宋体" w:cs="宋体"/>
                <w:spacing w:val="5"/>
                <w:sz w:val="21"/>
                <w:szCs w:val="21"/>
              </w:rPr>
            </w:pPr>
            <w:r>
              <w:rPr>
                <w:rFonts w:hint="eastAsia" w:ascii="宋体" w:hAnsi="宋体" w:eastAsia="宋体" w:cs="宋体"/>
                <w:spacing w:val="5"/>
                <w:sz w:val="21"/>
                <w:szCs w:val="21"/>
                <w:lang w:val="en-US" w:eastAsia="zh-CN"/>
              </w:rPr>
              <w:t>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40</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74</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rPr>
            </w:pPr>
            <w:r>
              <w:rPr>
                <w:rFonts w:hint="eastAsia" w:ascii="宋体" w:hAnsi="宋体" w:eastAsia="宋体" w:cs="宋体"/>
                <w:spacing w:val="5"/>
                <w:sz w:val="21"/>
                <w:szCs w:val="21"/>
                <w:lang w:val="en-US" w:eastAsia="zh-CN"/>
              </w:rPr>
              <w:t>5</w:t>
            </w:r>
            <w:r>
              <w:rPr>
                <w:rFonts w:hint="default" w:ascii="宋体" w:hAnsi="宋体" w:eastAsia="宋体" w:cs="宋体"/>
                <w:spacing w:val="5"/>
                <w:sz w:val="21"/>
                <w:szCs w:val="21"/>
                <w:lang w:val="en-US" w:eastAsia="zh-CN"/>
              </w:rPr>
              <w:t xml:space="preserve">000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33F</w:t>
            </w:r>
          </w:p>
        </w:tc>
        <w:tc>
          <w:tcPr>
            <w:tcW w:w="1007" w:type="dxa"/>
            <w:vMerge w:val="continue"/>
            <w:tcBorders>
              <w:left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left"/>
              <w:textAlignment w:val="baseline"/>
              <w:rPr>
                <w:rFonts w:hint="default" w:ascii="宋体" w:hAnsi="宋体" w:eastAsia="宋体" w:cs="宋体"/>
                <w:spacing w:val="5"/>
                <w:sz w:val="21"/>
                <w:szCs w:val="21"/>
              </w:rPr>
            </w:pPr>
            <w:r>
              <w:rPr>
                <w:rFonts w:hint="eastAsia" w:ascii="宋体" w:hAnsi="宋体" w:eastAsia="宋体" w:cs="宋体"/>
                <w:spacing w:val="5"/>
                <w:sz w:val="21"/>
                <w:szCs w:val="21"/>
                <w:lang w:val="en-US" w:eastAsia="zh-CN"/>
              </w:rPr>
              <w:t>5</w:t>
            </w:r>
            <w:r>
              <w:rPr>
                <w:rFonts w:hint="default" w:ascii="宋体" w:hAnsi="宋体" w:eastAsia="宋体" w:cs="宋体"/>
                <w:spacing w:val="5"/>
                <w:sz w:val="21"/>
                <w:szCs w:val="21"/>
                <w:lang w:val="en-US" w:eastAsia="zh-CN"/>
              </w:rPr>
              <w:t>000</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rPr>
            </w:pPr>
            <w:r>
              <w:rPr>
                <w:rFonts w:hint="eastAsia" w:ascii="宋体" w:hAnsi="宋体" w:eastAsia="宋体" w:cs="宋体"/>
                <w:spacing w:val="5"/>
                <w:sz w:val="21"/>
                <w:szCs w:val="21"/>
                <w:lang w:val="en-US" w:eastAsia="zh-CN"/>
              </w:rPr>
              <w:t>新增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843" w:type="dxa"/>
            <w:vMerge w:val="continue"/>
            <w:tcBorders>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pacing w:val="5"/>
                <w:sz w:val="21"/>
                <w:szCs w:val="21"/>
              </w:rPr>
            </w:pPr>
          </w:p>
        </w:tc>
        <w:tc>
          <w:tcPr>
            <w:tcW w:w="68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23</w:t>
            </w:r>
          </w:p>
        </w:tc>
        <w:tc>
          <w:tcPr>
            <w:tcW w:w="24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晶泽汐越小区</w:t>
            </w:r>
          </w:p>
        </w:tc>
        <w:tc>
          <w:tcPr>
            <w:tcW w:w="14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eastAsia" w:ascii="宋体" w:hAnsi="宋体" w:eastAsia="宋体" w:cs="宋体"/>
                <w:spacing w:val="5"/>
                <w:sz w:val="21"/>
                <w:szCs w:val="21"/>
              </w:rPr>
            </w:pPr>
            <w:r>
              <w:rPr>
                <w:rFonts w:hint="eastAsia" w:ascii="宋体" w:hAnsi="宋体" w:eastAsia="宋体" w:cs="宋体"/>
                <w:spacing w:val="5"/>
                <w:sz w:val="21"/>
                <w:szCs w:val="21"/>
              </w:rPr>
              <w:t>北面</w:t>
            </w:r>
          </w:p>
        </w:tc>
        <w:tc>
          <w:tcPr>
            <w:tcW w:w="139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60</w:t>
            </w:r>
          </w:p>
        </w:tc>
        <w:tc>
          <w:tcPr>
            <w:tcW w:w="118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94</w:t>
            </w:r>
          </w:p>
        </w:tc>
        <w:tc>
          <w:tcPr>
            <w:tcW w:w="217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lang w:val="en-US"/>
              </w:rPr>
            </w:pPr>
            <w:r>
              <w:rPr>
                <w:rFonts w:hint="default" w:ascii="宋体" w:hAnsi="宋体" w:eastAsia="宋体" w:cs="宋体"/>
                <w:spacing w:val="5"/>
                <w:sz w:val="21"/>
                <w:szCs w:val="21"/>
                <w:lang w:val="en-US" w:eastAsia="zh-CN"/>
              </w:rPr>
              <w:t xml:space="preserve">2000 </w:t>
            </w:r>
            <w:r>
              <w:rPr>
                <w:rFonts w:hint="eastAsia" w:ascii="宋体" w:hAnsi="宋体" w:eastAsia="宋体" w:cs="宋体"/>
                <w:spacing w:val="5"/>
                <w:sz w:val="21"/>
                <w:szCs w:val="21"/>
                <w:lang w:val="en-US" w:eastAsia="zh-CN"/>
              </w:rPr>
              <w:t>户，</w:t>
            </w:r>
            <w:r>
              <w:rPr>
                <w:rFonts w:hint="default" w:ascii="宋体" w:hAnsi="宋体" w:eastAsia="宋体" w:cs="宋体"/>
                <w:spacing w:val="5"/>
                <w:sz w:val="21"/>
                <w:szCs w:val="21"/>
                <w:lang w:val="en-US" w:eastAsia="zh-CN"/>
              </w:rPr>
              <w:t>33F</w:t>
            </w:r>
            <w:r>
              <w:rPr>
                <w:rFonts w:hint="eastAsia" w:ascii="宋体" w:hAnsi="宋体" w:eastAsia="宋体" w:cs="宋体"/>
                <w:spacing w:val="5"/>
                <w:sz w:val="21"/>
                <w:szCs w:val="21"/>
                <w:lang w:val="en-US" w:eastAsia="zh-CN"/>
              </w:rPr>
              <w:t>，别墅</w:t>
            </w:r>
          </w:p>
        </w:tc>
        <w:tc>
          <w:tcPr>
            <w:tcW w:w="1007" w:type="dxa"/>
            <w:vMerge w:val="continue"/>
            <w:tcBorders>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rPr>
            </w:pPr>
          </w:p>
        </w:tc>
        <w:tc>
          <w:tcPr>
            <w:tcW w:w="10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eastAsia"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w:t>
            </w:r>
          </w:p>
        </w:tc>
        <w:tc>
          <w:tcPr>
            <w:tcW w:w="1353"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left"/>
              <w:textAlignment w:val="baseline"/>
              <w:rPr>
                <w:rFonts w:hint="default" w:ascii="宋体" w:hAnsi="宋体" w:eastAsia="宋体" w:cs="宋体"/>
                <w:spacing w:val="5"/>
                <w:sz w:val="21"/>
                <w:szCs w:val="21"/>
              </w:rPr>
            </w:pPr>
            <w:r>
              <w:rPr>
                <w:rFonts w:hint="default" w:ascii="宋体" w:hAnsi="宋体" w:eastAsia="宋体" w:cs="宋体"/>
                <w:spacing w:val="5"/>
                <w:sz w:val="21"/>
                <w:szCs w:val="21"/>
                <w:lang w:val="en-US" w:eastAsia="zh-CN"/>
              </w:rPr>
              <w:t>2000</w:t>
            </w:r>
            <w:r>
              <w:rPr>
                <w:rFonts w:hint="eastAsia" w:ascii="宋体" w:hAnsi="宋体" w:eastAsia="宋体" w:cs="宋体"/>
                <w:spacing w:val="5"/>
                <w:sz w:val="21"/>
                <w:szCs w:val="21"/>
                <w:lang w:val="en-US" w:eastAsia="zh-CN"/>
              </w:rPr>
              <w:t>户</w:t>
            </w:r>
          </w:p>
        </w:tc>
        <w:tc>
          <w:tcPr>
            <w:tcW w:w="103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left"/>
              <w:textAlignment w:val="baseline"/>
              <w:rPr>
                <w:rFonts w:hint="default" w:ascii="宋体" w:hAnsi="宋体" w:eastAsia="宋体" w:cs="宋体"/>
                <w:spacing w:val="5"/>
                <w:sz w:val="21"/>
                <w:szCs w:val="21"/>
              </w:rPr>
            </w:pPr>
            <w:r>
              <w:rPr>
                <w:rFonts w:hint="eastAsia" w:ascii="宋体" w:hAnsi="宋体" w:eastAsia="宋体" w:cs="宋体"/>
                <w:spacing w:val="5"/>
                <w:sz w:val="21"/>
                <w:szCs w:val="21"/>
                <w:lang w:val="en-US" w:eastAsia="zh-CN"/>
              </w:rPr>
              <w:t>新增</w:t>
            </w:r>
          </w:p>
        </w:tc>
      </w:tr>
    </w:tbl>
    <w:p>
      <w:pPr>
        <w:pStyle w:val="3"/>
        <w:sectPr>
          <w:pgSz w:w="16840" w:h="11900" w:orient="landscape"/>
          <w:pgMar w:top="1559" w:right="1046" w:bottom="1549" w:left="1345" w:header="857" w:footer="1196" w:gutter="0"/>
          <w:pgNumType w:fmt="decimal"/>
          <w:cols w:space="720" w:num="1"/>
        </w:sectPr>
      </w:pPr>
    </w:p>
    <w:p>
      <w:pPr>
        <w:pStyle w:val="3"/>
      </w:pP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r>
        <w:rPr>
          <w:rFonts w:hint="eastAsia"/>
          <w:b/>
          <w:sz w:val="24"/>
          <w:szCs w:val="18"/>
        </w:rPr>
        <w:t>2.5.1 生态环境保护目标</w:t>
      </w:r>
    </w:p>
    <w:p>
      <w:pPr>
        <w:pageBreakBefore w:val="0"/>
        <w:widowControl/>
        <w:kinsoku w:val="0"/>
        <w:wordWrap/>
        <w:overflowPunct/>
        <w:topLinePunct w:val="0"/>
        <w:autoSpaceDE w:val="0"/>
        <w:autoSpaceDN w:val="0"/>
        <w:bidi w:val="0"/>
        <w:adjustRightInd w:val="0"/>
        <w:snapToGrid w:val="0"/>
        <w:spacing w:line="360" w:lineRule="auto"/>
        <w:ind w:left="0" w:right="0" w:firstLine="464" w:firstLineChars="200"/>
        <w:jc w:val="both"/>
        <w:textAlignment w:val="baseline"/>
        <w:rPr>
          <w:rFonts w:ascii="宋体" w:hAnsi="宋体" w:eastAsia="宋体" w:cs="宋体"/>
          <w:sz w:val="24"/>
          <w:szCs w:val="24"/>
        </w:rPr>
      </w:pPr>
      <w:r>
        <w:rPr>
          <w:rFonts w:ascii="宋体" w:hAnsi="宋体" w:eastAsia="宋体" w:cs="宋体"/>
          <w:spacing w:val="-4"/>
          <w:sz w:val="24"/>
          <w:szCs w:val="24"/>
        </w:rPr>
        <w:t>通过对线路走向的实地踏勘和重点施工区域重点调查相结合的方法，</w:t>
      </w:r>
      <w:r>
        <w:rPr>
          <w:rFonts w:hint="eastAsia" w:ascii="宋体" w:hAnsi="宋体" w:eastAsia="宋体" w:cs="宋体"/>
          <w:spacing w:val="-4"/>
          <w:sz w:val="24"/>
          <w:szCs w:val="24"/>
        </w:rPr>
        <w:t>根据现场勘查，项目拟建地为典型的城市生态系统，受人类活动影响很大。场地内由于长期的人类频繁活动，场地地表以沥青混凝土道路路面为主，少数地表覆盖有少量的人工绿化植被，主要为小叶榕、柏树等植被，无原有大型植被和珍稀植物；动物以田鼠、麻雀等一些常见动植物，亦无大型野生动物活动的踪迹。</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r>
        <w:rPr>
          <w:rFonts w:hint="eastAsia"/>
          <w:b/>
          <w:sz w:val="24"/>
          <w:szCs w:val="18"/>
        </w:rPr>
        <w:t>2.5.2 声环境保护目标</w:t>
      </w:r>
    </w:p>
    <w:p>
      <w:pPr>
        <w:pageBreakBefore w:val="0"/>
        <w:widowControl/>
        <w:kinsoku w:val="0"/>
        <w:wordWrap/>
        <w:overflowPunct/>
        <w:topLinePunct w:val="0"/>
        <w:autoSpaceDE w:val="0"/>
        <w:autoSpaceDN w:val="0"/>
        <w:bidi w:val="0"/>
        <w:adjustRightInd w:val="0"/>
        <w:snapToGrid w:val="0"/>
        <w:spacing w:line="360" w:lineRule="auto"/>
        <w:ind w:left="0" w:right="0" w:firstLine="520"/>
        <w:jc w:val="both"/>
        <w:textAlignment w:val="baseline"/>
        <w:rPr>
          <w:rFonts w:ascii="宋体" w:hAnsi="宋体" w:eastAsia="宋体" w:cs="宋体"/>
          <w:sz w:val="24"/>
          <w:szCs w:val="24"/>
        </w:rPr>
      </w:pPr>
      <w:r>
        <w:rPr>
          <w:rFonts w:ascii="宋体" w:hAnsi="宋体" w:eastAsia="宋体" w:cs="宋体"/>
          <w:spacing w:val="-2"/>
          <w:sz w:val="24"/>
          <w:szCs w:val="24"/>
        </w:rPr>
        <w:t>根据现场踏勘，本项目主线中心线两侧200m范围内声环境敏感点为</w:t>
      </w:r>
      <w:r>
        <w:rPr>
          <w:rFonts w:hint="eastAsia" w:ascii="宋体" w:hAnsi="宋体" w:eastAsia="宋体" w:cs="宋体"/>
          <w:color w:val="auto"/>
          <w:spacing w:val="-4"/>
          <w:sz w:val="24"/>
          <w:szCs w:val="24"/>
        </w:rPr>
        <w:t>长土镇场镇居民</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黄角村农户</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石牛村农户</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金鱼村农户</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南湖生态城小区</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华景苑小区</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正黄翡翠小区</w:t>
      </w:r>
      <w:r>
        <w:rPr>
          <w:rFonts w:hint="eastAsia" w:ascii="宋体" w:hAnsi="宋体" w:eastAsia="宋体" w:cs="宋体"/>
          <w:color w:val="auto"/>
          <w:spacing w:val="-4"/>
          <w:sz w:val="24"/>
          <w:szCs w:val="24"/>
          <w:lang w:eastAsia="zh-CN"/>
        </w:rPr>
        <w:t>、</w:t>
      </w:r>
      <w:r>
        <w:rPr>
          <w:rFonts w:hint="eastAsia" w:ascii="宋体" w:hAnsi="宋体" w:eastAsia="宋体" w:cs="宋体"/>
          <w:color w:val="auto"/>
          <w:spacing w:val="-4"/>
          <w:sz w:val="24"/>
          <w:szCs w:val="24"/>
        </w:rPr>
        <w:t>汇东实验学校</w:t>
      </w:r>
      <w:r>
        <w:rPr>
          <w:rFonts w:ascii="宋体" w:hAnsi="宋体" w:eastAsia="宋体" w:cs="宋体"/>
          <w:spacing w:val="-1"/>
          <w:sz w:val="24"/>
          <w:szCs w:val="24"/>
        </w:rPr>
        <w:t>等。本次验收调查噪声敏感点</w:t>
      </w:r>
      <w:r>
        <w:rPr>
          <w:rFonts w:ascii="宋体" w:hAnsi="宋体" w:eastAsia="宋体" w:cs="宋体"/>
          <w:spacing w:val="-2"/>
          <w:sz w:val="24"/>
          <w:szCs w:val="24"/>
        </w:rPr>
        <w:t>具体见表2.5-1。</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rPr>
      </w:pPr>
      <w:r>
        <w:rPr>
          <w:rFonts w:hint="eastAsia"/>
          <w:b/>
          <w:sz w:val="24"/>
          <w:szCs w:val="18"/>
        </w:rPr>
        <w:t>2.5.3 环境空气保护目标</w:t>
      </w:r>
    </w:p>
    <w:p>
      <w:pPr>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z w:val="24"/>
          <w:szCs w:val="24"/>
        </w:rPr>
      </w:pPr>
      <w:r>
        <w:rPr>
          <w:rFonts w:ascii="宋体" w:hAnsi="宋体" w:eastAsia="宋体" w:cs="宋体"/>
          <w:sz w:val="24"/>
          <w:szCs w:val="24"/>
        </w:rPr>
        <w:t>环境空气保护目标为路中心线两侧各200m</w:t>
      </w:r>
      <w:r>
        <w:rPr>
          <w:rFonts w:ascii="宋体" w:hAnsi="宋体" w:eastAsia="宋体" w:cs="宋体"/>
          <w:spacing w:val="13"/>
          <w:sz w:val="24"/>
          <w:szCs w:val="24"/>
        </w:rPr>
        <w:t xml:space="preserve"> </w:t>
      </w:r>
      <w:r>
        <w:rPr>
          <w:rFonts w:ascii="宋体" w:hAnsi="宋体" w:eastAsia="宋体" w:cs="宋体"/>
          <w:sz w:val="24"/>
          <w:szCs w:val="24"/>
        </w:rPr>
        <w:t>范围内的环境空气质量。</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r>
        <w:rPr>
          <w:rFonts w:hint="eastAsia"/>
          <w:b/>
          <w:sz w:val="24"/>
          <w:szCs w:val="18"/>
        </w:rPr>
        <w:t>2.5.4 水环境保护目标</w:t>
      </w:r>
    </w:p>
    <w:p>
      <w:pPr>
        <w:pageBreakBefore w:val="0"/>
        <w:widowControl/>
        <w:kinsoku w:val="0"/>
        <w:wordWrap/>
        <w:overflowPunct/>
        <w:topLinePunct w:val="0"/>
        <w:autoSpaceDE w:val="0"/>
        <w:autoSpaceDN w:val="0"/>
        <w:bidi w:val="0"/>
        <w:adjustRightInd w:val="0"/>
        <w:snapToGrid w:val="0"/>
        <w:spacing w:line="360" w:lineRule="auto"/>
        <w:ind w:left="0" w:right="0" w:firstLine="464" w:firstLineChars="200"/>
        <w:textAlignment w:val="baseline"/>
        <w:rPr>
          <w:rFonts w:hint="default" w:ascii="宋体" w:hAnsi="宋体" w:eastAsia="宋体" w:cs="宋体"/>
          <w:sz w:val="24"/>
          <w:szCs w:val="24"/>
          <w:lang w:val="en-US" w:eastAsia="zh-CN"/>
        </w:rPr>
      </w:pPr>
      <w:r>
        <w:rPr>
          <w:rFonts w:ascii="宋体" w:hAnsi="宋体" w:eastAsia="宋体" w:cs="宋体"/>
          <w:spacing w:val="-4"/>
          <w:position w:val="11"/>
          <w:sz w:val="24"/>
          <w:szCs w:val="24"/>
        </w:rPr>
        <w:t>本项目不穿饮用水源地、取水口等敏感目标，</w:t>
      </w:r>
      <w:r>
        <w:rPr>
          <w:rFonts w:ascii="宋体" w:hAnsi="宋体" w:eastAsia="宋体" w:cs="宋体"/>
          <w:spacing w:val="-5"/>
          <w:position w:val="11"/>
          <w:sz w:val="24"/>
          <w:szCs w:val="24"/>
        </w:rPr>
        <w:t>不涉及饮用水水源保护区</w:t>
      </w:r>
      <w:r>
        <w:rPr>
          <w:rFonts w:hint="eastAsia" w:ascii="宋体" w:hAnsi="宋体" w:eastAsia="宋体" w:cs="宋体"/>
          <w:spacing w:val="-5"/>
          <w:position w:val="11"/>
          <w:sz w:val="24"/>
          <w:szCs w:val="24"/>
          <w:lang w:eastAsia="zh-CN"/>
        </w:rPr>
        <w:t>，</w:t>
      </w:r>
      <w:r>
        <w:rPr>
          <w:rFonts w:hint="eastAsia" w:ascii="宋体" w:hAnsi="宋体" w:eastAsia="宋体" w:cs="宋体"/>
          <w:spacing w:val="-5"/>
          <w:position w:val="11"/>
          <w:sz w:val="24"/>
          <w:szCs w:val="24"/>
          <w:lang w:val="en-US" w:eastAsia="zh-CN"/>
        </w:rPr>
        <w:t>旭水河，</w:t>
      </w:r>
      <w:r>
        <w:rPr>
          <w:rFonts w:hint="eastAsia" w:ascii="宋体" w:hAnsi="宋体" w:eastAsia="宋体" w:cs="宋体"/>
          <w:sz w:val="24"/>
          <w:szCs w:val="24"/>
        </w:rPr>
        <w:t>釜溪河</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金鱼河是本项目的水环境保护目标。</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rPr>
      </w:pPr>
      <w:r>
        <w:rPr>
          <w:rFonts w:hint="eastAsia"/>
          <w:b/>
          <w:sz w:val="24"/>
          <w:szCs w:val="18"/>
        </w:rPr>
        <w:t>2.5.5社会环境保护目标</w:t>
      </w:r>
    </w:p>
    <w:p>
      <w:pPr>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eastAsia" w:ascii="宋体" w:hAnsi="宋体" w:eastAsia="宋体" w:cs="宋体"/>
          <w:spacing w:val="-1"/>
          <w:sz w:val="24"/>
          <w:szCs w:val="24"/>
          <w:lang w:eastAsia="zh-CN"/>
        </w:rPr>
      </w:pPr>
      <w:r>
        <w:rPr>
          <w:rFonts w:ascii="宋体" w:hAnsi="宋体" w:eastAsia="宋体" w:cs="宋体"/>
          <w:spacing w:val="-1"/>
          <w:sz w:val="24"/>
          <w:szCs w:val="24"/>
        </w:rPr>
        <w:t>本项目社会环境保护目标为道路中心线两侧各200m</w:t>
      </w:r>
      <w:r>
        <w:rPr>
          <w:rFonts w:ascii="宋体" w:hAnsi="宋体" w:eastAsia="宋体" w:cs="宋体"/>
          <w:spacing w:val="17"/>
          <w:sz w:val="24"/>
          <w:szCs w:val="24"/>
        </w:rPr>
        <w:t xml:space="preserve"> </w:t>
      </w:r>
      <w:r>
        <w:rPr>
          <w:rFonts w:ascii="宋体" w:hAnsi="宋体" w:eastAsia="宋体" w:cs="宋体"/>
          <w:spacing w:val="-1"/>
          <w:sz w:val="24"/>
          <w:szCs w:val="24"/>
        </w:rPr>
        <w:t>范围内的居民</w:t>
      </w:r>
      <w:r>
        <w:rPr>
          <w:rFonts w:hint="eastAsia" w:ascii="宋体" w:hAnsi="宋体" w:eastAsia="宋体" w:cs="宋体"/>
          <w:spacing w:val="-1"/>
          <w:sz w:val="24"/>
          <w:szCs w:val="24"/>
          <w:lang w:eastAsia="zh-CN"/>
        </w:rPr>
        <w:t>。</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textAlignment w:val="baseline"/>
        <w:rPr>
          <w:rFonts w:ascii="Arial"/>
          <w:sz w:val="21"/>
        </w:rPr>
      </w:pPr>
      <w:bookmarkStart w:id="7" w:name="_Toc20316"/>
      <w:r>
        <w:rPr>
          <w:rFonts w:hint="eastAsia"/>
          <w:b/>
          <w:sz w:val="28"/>
          <w:szCs w:val="20"/>
        </w:rPr>
        <w:t>2.6 调查重点</w:t>
      </w:r>
      <w:bookmarkEnd w:id="7"/>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textAlignment w:val="baseline"/>
        <w:rPr>
          <w:rFonts w:ascii="宋体" w:hAnsi="宋体" w:eastAsia="宋体" w:cs="宋体"/>
          <w:sz w:val="24"/>
          <w:szCs w:val="24"/>
        </w:rPr>
      </w:pPr>
      <w:r>
        <w:rPr>
          <w:rFonts w:ascii="宋体" w:hAnsi="宋体" w:eastAsia="宋体" w:cs="宋体"/>
          <w:spacing w:val="-7"/>
          <w:sz w:val="24"/>
          <w:szCs w:val="24"/>
        </w:rPr>
        <w:t>(1)对比该道路工程环境影响</w:t>
      </w:r>
      <w:r>
        <w:rPr>
          <w:rFonts w:hint="eastAsia" w:ascii="宋体" w:hAnsi="宋体" w:eastAsia="宋体" w:cs="宋体"/>
          <w:spacing w:val="-7"/>
          <w:sz w:val="24"/>
          <w:szCs w:val="24"/>
          <w:lang w:eastAsia="zh-CN"/>
        </w:rPr>
        <w:t>报告表</w:t>
      </w:r>
      <w:r>
        <w:rPr>
          <w:rFonts w:ascii="宋体" w:hAnsi="宋体" w:eastAsia="宋体" w:cs="宋体"/>
          <w:spacing w:val="-7"/>
          <w:sz w:val="24"/>
          <w:szCs w:val="24"/>
        </w:rPr>
        <w:t>，核实工程实际建设内容、声环境敏感点</w:t>
      </w:r>
      <w:r>
        <w:rPr>
          <w:rFonts w:ascii="宋体" w:hAnsi="宋体" w:eastAsia="宋体" w:cs="宋体"/>
          <w:spacing w:val="5"/>
          <w:sz w:val="24"/>
          <w:szCs w:val="24"/>
        </w:rPr>
        <w:t xml:space="preserve"> </w:t>
      </w:r>
      <w:r>
        <w:rPr>
          <w:rFonts w:ascii="宋体" w:hAnsi="宋体" w:eastAsia="宋体" w:cs="宋体"/>
          <w:spacing w:val="-3"/>
          <w:sz w:val="24"/>
          <w:szCs w:val="24"/>
        </w:rPr>
        <w:t>及其他环境敏感目标的变更情况，明确工程是否发生重大变更，是否符合竣工环</w:t>
      </w:r>
      <w:r>
        <w:rPr>
          <w:rFonts w:ascii="宋体" w:hAnsi="宋体" w:eastAsia="宋体" w:cs="宋体"/>
          <w:spacing w:val="-7"/>
          <w:sz w:val="24"/>
          <w:szCs w:val="24"/>
        </w:rPr>
        <w:t>保验收条件。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ascii="宋体" w:hAnsi="宋体" w:eastAsia="宋体" w:cs="宋体"/>
          <w:spacing w:val="-6"/>
          <w:sz w:val="24"/>
          <w:szCs w:val="24"/>
        </w:rPr>
        <w:t>(2)环境影响评价制度和其他有关环保法律、法</w:t>
      </w:r>
      <w:r>
        <w:rPr>
          <w:rFonts w:ascii="宋体" w:hAnsi="宋体" w:eastAsia="宋体" w:cs="宋体"/>
          <w:spacing w:val="-7"/>
          <w:sz w:val="24"/>
          <w:szCs w:val="24"/>
        </w:rPr>
        <w:t>规执行情况。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z w:val="24"/>
          <w:szCs w:val="24"/>
        </w:rPr>
      </w:pPr>
      <w:r>
        <w:rPr>
          <w:rFonts w:ascii="宋体" w:hAnsi="宋体" w:eastAsia="宋体" w:cs="宋体"/>
          <w:spacing w:val="-6"/>
          <w:sz w:val="24"/>
          <w:szCs w:val="24"/>
        </w:rPr>
        <w:t>(3)调查施工期实际产生的环境影响，确定影响的程度及范围。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hint="eastAsia" w:ascii="宋体" w:hAnsi="宋体" w:eastAsia="宋体" w:cs="宋体"/>
          <w:spacing w:val="-6"/>
          <w:sz w:val="24"/>
          <w:szCs w:val="24"/>
          <w:lang w:val="en-US" w:eastAsia="zh-CN"/>
        </w:rPr>
      </w:pPr>
      <w:r>
        <w:rPr>
          <w:rFonts w:ascii="宋体" w:hAnsi="宋体" w:eastAsia="宋体" w:cs="宋体"/>
          <w:spacing w:val="-6"/>
          <w:sz w:val="24"/>
          <w:szCs w:val="24"/>
        </w:rPr>
        <w:t>(4)环评文件及环评批复中提出的有关环保措施落实情况，调查建设单位环境</w:t>
      </w:r>
      <w:r>
        <w:rPr>
          <w:rFonts w:hint="eastAsia" w:ascii="宋体" w:hAnsi="宋体" w:eastAsia="宋体" w:cs="宋体"/>
          <w:spacing w:val="-6"/>
          <w:sz w:val="24"/>
          <w:szCs w:val="24"/>
          <w:lang w:val="en-US" w:eastAsia="zh-CN"/>
        </w:rPr>
        <w:t>管理状况，环境监测制度，监测、环保投资等的执行情况。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hint="eastAsia" w:ascii="宋体" w:hAnsi="宋体" w:eastAsia="宋体" w:cs="宋体"/>
          <w:spacing w:val="-6"/>
          <w:sz w:val="24"/>
          <w:szCs w:val="24"/>
          <w:lang w:val="en-US" w:eastAsia="zh-CN"/>
        </w:rPr>
      </w:pPr>
      <w:r>
        <w:rPr>
          <w:rFonts w:ascii="宋体" w:hAnsi="宋体" w:eastAsia="宋体" w:cs="宋体"/>
          <w:spacing w:val="-6"/>
          <w:sz w:val="24"/>
          <w:szCs w:val="24"/>
        </w:rPr>
        <w:t>(5)道路交通噪声对沿线声环境敏感点的影响，沿线声环境敏感点的达标情况</w:t>
      </w:r>
      <w:r>
        <w:rPr>
          <w:rFonts w:hint="eastAsia" w:ascii="宋体" w:hAnsi="宋体" w:eastAsia="宋体" w:cs="宋体"/>
          <w:spacing w:val="-6"/>
          <w:sz w:val="24"/>
          <w:szCs w:val="24"/>
          <w:lang w:val="en-US" w:eastAsia="zh-CN"/>
        </w:rPr>
        <w:t>和声环境保护措施的落实情况。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ascii="宋体" w:hAnsi="宋体" w:eastAsia="宋体" w:cs="宋体"/>
          <w:spacing w:val="-6"/>
          <w:sz w:val="24"/>
          <w:szCs w:val="24"/>
        </w:rPr>
      </w:pPr>
      <w:r>
        <w:rPr>
          <w:rFonts w:ascii="宋体" w:hAnsi="宋体" w:eastAsia="宋体" w:cs="宋体"/>
          <w:spacing w:val="-6"/>
          <w:sz w:val="24"/>
          <w:szCs w:val="24"/>
        </w:rPr>
        <w:t>(6)道路工程建设对沿线生态环境的影响及恢复情况。</w:t>
      </w:r>
    </w:p>
    <w:p>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bookmarkStart w:id="8" w:name="_Toc26597"/>
      <w:r>
        <w:rPr>
          <w:rFonts w:hint="eastAsia"/>
          <w:b/>
          <w:sz w:val="32"/>
          <w:szCs w:val="16"/>
        </w:rPr>
        <w:t>第 三 章  工 程 建 设 概 况</w:t>
      </w:r>
      <w:bookmarkEnd w:id="8"/>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bookmarkStart w:id="9" w:name="_Toc23711"/>
      <w:r>
        <w:rPr>
          <w:rFonts w:hint="eastAsia"/>
          <w:b/>
          <w:sz w:val="28"/>
          <w:szCs w:val="20"/>
        </w:rPr>
        <w:t>3.1 公路建设过程回顾</w:t>
      </w:r>
      <w:bookmarkEnd w:id="9"/>
    </w:p>
    <w:p>
      <w:pPr>
        <w:pageBreakBefore w:val="0"/>
        <w:widowControl/>
        <w:kinsoku w:val="0"/>
        <w:wordWrap/>
        <w:overflowPunct/>
        <w:topLinePunct w:val="0"/>
        <w:autoSpaceDE w:val="0"/>
        <w:autoSpaceDN w:val="0"/>
        <w:bidi w:val="0"/>
        <w:adjustRightInd w:val="0"/>
        <w:snapToGrid w:val="0"/>
        <w:spacing w:line="360" w:lineRule="auto"/>
        <w:ind w:left="0" w:right="0" w:firstLine="490"/>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自贡市城市建设投资开发集团有限公司于201</w:t>
      </w:r>
      <w:r>
        <w:rPr>
          <w:rFonts w:hint="eastAsia" w:ascii="宋体" w:hAnsi="宋体" w:eastAsia="宋体" w:cs="宋体"/>
          <w:spacing w:val="-6"/>
          <w:sz w:val="24"/>
          <w:szCs w:val="24"/>
          <w:lang w:val="en-US" w:eastAsia="zh-CN"/>
        </w:rPr>
        <w:t>8</w:t>
      </w:r>
      <w:r>
        <w:rPr>
          <w:rFonts w:hint="eastAsia" w:ascii="宋体" w:hAnsi="宋体" w:eastAsia="宋体" w:cs="宋体"/>
          <w:spacing w:val="-6"/>
          <w:sz w:val="24"/>
          <w:szCs w:val="24"/>
        </w:rPr>
        <w:t>年0</w:t>
      </w:r>
      <w:r>
        <w:rPr>
          <w:rFonts w:hint="eastAsia" w:ascii="宋体" w:hAnsi="宋体" w:eastAsia="宋体" w:cs="宋体"/>
          <w:spacing w:val="-6"/>
          <w:sz w:val="24"/>
          <w:szCs w:val="24"/>
          <w:lang w:val="en-US" w:eastAsia="zh-CN"/>
        </w:rPr>
        <w:t>1</w:t>
      </w:r>
      <w:r>
        <w:rPr>
          <w:rFonts w:hint="eastAsia" w:ascii="宋体" w:hAnsi="宋体" w:eastAsia="宋体" w:cs="宋体"/>
          <w:spacing w:val="-6"/>
          <w:sz w:val="24"/>
          <w:szCs w:val="24"/>
        </w:rPr>
        <w:t>月委托宇寰环保科技（上海）有限公司进行该项目的环境影响评价工作，同年</w:t>
      </w:r>
      <w:r>
        <w:rPr>
          <w:rFonts w:hint="eastAsia" w:ascii="宋体" w:hAnsi="宋体" w:eastAsia="宋体" w:cs="宋体"/>
          <w:spacing w:val="-6"/>
          <w:sz w:val="24"/>
          <w:szCs w:val="24"/>
          <w:lang w:val="en-US" w:eastAsia="zh-CN"/>
        </w:rPr>
        <w:t>02</w:t>
      </w:r>
      <w:r>
        <w:rPr>
          <w:rFonts w:hint="eastAsia" w:ascii="宋体" w:hAnsi="宋体" w:eastAsia="宋体" w:cs="宋体"/>
          <w:spacing w:val="-6"/>
          <w:sz w:val="24"/>
          <w:szCs w:val="24"/>
        </w:rPr>
        <w:t>月自贡市生态环境局关于“自贡市富荣产城融合带基础设施建设项目（C、D段）环境影响报告表”准予行政许可决定书。项目于201</w:t>
      </w:r>
      <w:r>
        <w:rPr>
          <w:rFonts w:hint="eastAsia" w:ascii="宋体" w:hAnsi="宋体" w:eastAsia="宋体" w:cs="宋体"/>
          <w:spacing w:val="-6"/>
          <w:sz w:val="24"/>
          <w:szCs w:val="24"/>
          <w:lang w:val="en-US" w:eastAsia="zh-CN"/>
        </w:rPr>
        <w:t>8</w:t>
      </w:r>
      <w:r>
        <w:rPr>
          <w:rFonts w:hint="eastAsia" w:ascii="宋体" w:hAnsi="宋体" w:eastAsia="宋体" w:cs="宋体"/>
          <w:spacing w:val="-6"/>
          <w:sz w:val="24"/>
          <w:szCs w:val="24"/>
        </w:rPr>
        <w:t>年</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rPr>
        <w:t>月9开工建设，全线于2023年3月建成通车。</w:t>
      </w:r>
    </w:p>
    <w:p>
      <w:pPr>
        <w:pageBreakBefore w:val="0"/>
        <w:widowControl/>
        <w:kinsoku w:val="0"/>
        <w:wordWrap/>
        <w:overflowPunct/>
        <w:topLinePunct w:val="0"/>
        <w:autoSpaceDE w:val="0"/>
        <w:autoSpaceDN w:val="0"/>
        <w:bidi w:val="0"/>
        <w:adjustRightInd w:val="0"/>
        <w:snapToGrid w:val="0"/>
        <w:spacing w:line="360" w:lineRule="auto"/>
        <w:ind w:left="0" w:right="0" w:firstLine="490"/>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该项目的设计单位为中国市政工程西南设计研究总院有限公司，监理单位为</w:t>
      </w:r>
      <w:r>
        <w:rPr>
          <w:rFonts w:hint="eastAsia" w:ascii="宋体" w:hAnsi="宋体" w:eastAsia="宋体" w:cs="宋体"/>
          <w:spacing w:val="-6"/>
          <w:sz w:val="24"/>
          <w:szCs w:val="24"/>
          <w:lang w:val="en-US" w:eastAsia="zh-CN"/>
        </w:rPr>
        <w:t>康立时代建设集团有限公司</w:t>
      </w:r>
      <w:r>
        <w:rPr>
          <w:rFonts w:hint="eastAsia" w:ascii="宋体" w:hAnsi="宋体" w:eastAsia="宋体" w:cs="宋体"/>
          <w:spacing w:val="-6"/>
          <w:sz w:val="24"/>
          <w:szCs w:val="24"/>
        </w:rPr>
        <w:t>，施工单位为中交路桥建设有限公司。</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bookmarkStart w:id="10" w:name="_Toc4324"/>
      <w:r>
        <w:rPr>
          <w:rFonts w:hint="eastAsia"/>
          <w:b/>
          <w:sz w:val="28"/>
          <w:szCs w:val="20"/>
        </w:rPr>
        <w:t>3.2地理位置及路线走向</w:t>
      </w:r>
      <w:bookmarkEnd w:id="10"/>
    </w:p>
    <w:p>
      <w:pPr>
        <w:pageBreakBefore w:val="0"/>
        <w:widowControl/>
        <w:kinsoku w:val="0"/>
        <w:wordWrap/>
        <w:overflowPunct/>
        <w:topLinePunct w:val="0"/>
        <w:autoSpaceDE w:val="0"/>
        <w:autoSpaceDN w:val="0"/>
        <w:bidi w:val="0"/>
        <w:adjustRightInd w:val="0"/>
        <w:snapToGrid w:val="0"/>
        <w:spacing w:line="360" w:lineRule="auto"/>
        <w:ind w:left="0" w:right="0" w:firstLine="490"/>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本道路工程的地理位置及路线走向情况如下：</w:t>
      </w:r>
    </w:p>
    <w:p>
      <w:pPr>
        <w:pageBreakBefore w:val="0"/>
        <w:widowControl/>
        <w:kinsoku w:val="0"/>
        <w:wordWrap/>
        <w:overflowPunct/>
        <w:topLinePunct w:val="0"/>
        <w:autoSpaceDE w:val="0"/>
        <w:autoSpaceDN w:val="0"/>
        <w:bidi w:val="0"/>
        <w:adjustRightInd w:val="0"/>
        <w:snapToGrid w:val="0"/>
        <w:spacing w:line="360" w:lineRule="auto"/>
        <w:ind w:left="0" w:right="0" w:firstLine="490"/>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根据统一规划、分步实施的原则，按照产业布置和郊野的分区对项目进行分段，其中本次设计C段、D段，总长度为24.62km:其中C段起于成佳航空园区，止于贡井区长土镇，长约8.74km</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D段起于贡井区长土镇，止于东环线交叉口，长15.88km。</w:t>
      </w:r>
    </w:p>
    <w:p>
      <w:pPr>
        <w:pageBreakBefore w:val="0"/>
        <w:widowControl/>
        <w:kinsoku w:val="0"/>
        <w:wordWrap/>
        <w:overflowPunct/>
        <w:topLinePunct w:val="0"/>
        <w:autoSpaceDE w:val="0"/>
        <w:autoSpaceDN w:val="0"/>
        <w:bidi w:val="0"/>
        <w:adjustRightInd w:val="0"/>
        <w:snapToGrid w:val="0"/>
        <w:spacing w:line="360" w:lineRule="auto"/>
        <w:ind w:left="0" w:right="0" w:firstLine="490"/>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道路工程地理位置及路线走向详见图3.2-1</w:t>
      </w:r>
    </w:p>
    <w:p>
      <w:pPr>
        <w:pStyle w:val="2"/>
        <w:jc w:val="both"/>
      </w:pPr>
      <w:r>
        <w:rPr>
          <w:sz w:val="18"/>
        </w:rPr>
        <mc:AlternateContent>
          <mc:Choice Requires="wps">
            <w:drawing>
              <wp:anchor distT="0" distB="0" distL="114300" distR="114300" simplePos="0" relativeHeight="251665408" behindDoc="0" locked="0" layoutInCell="1" allowOverlap="1">
                <wp:simplePos x="0" y="0"/>
                <wp:positionH relativeFrom="column">
                  <wp:posOffset>3200400</wp:posOffset>
                </wp:positionH>
                <wp:positionV relativeFrom="paragraph">
                  <wp:posOffset>1915160</wp:posOffset>
                </wp:positionV>
                <wp:extent cx="504190" cy="304800"/>
                <wp:effectExtent l="0" t="0" r="0" b="0"/>
                <wp:wrapNone/>
                <wp:docPr id="24" name="文本框 24"/>
                <wp:cNvGraphicFramePr/>
                <a:graphic xmlns:a="http://schemas.openxmlformats.org/drawingml/2006/main">
                  <a:graphicData uri="http://schemas.microsoft.com/office/word/2010/wordprocessingShape">
                    <wps:wsp>
                      <wps:cNvSpPr txBox="1"/>
                      <wps:spPr>
                        <a:xfrm>
                          <a:off x="4273550" y="6933565"/>
                          <a:ext cx="50419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D段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pt;margin-top:150.8pt;height:24pt;width:39.7pt;z-index:251665408;mso-width-relative:page;mso-height-relative:page;" filled="f" stroked="f" coordsize="21600,21600" o:gfxdata="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3C++9wAAAALAQAADwAAAAAA&#10;AAABACAAAAAiAAAAZHJzL2Rvd25yZXYueG1sUEsBAhQAFAAAAAgAh07iQE0Z62BIAgAAcwQAAA4A&#10;AAAAAAAAAQAgAAAAKwEAAGRycy9lMm9Eb2MueG1sUEsFBgAAAAAGAAYAWQEAAOUF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D段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column">
                  <wp:posOffset>3033395</wp:posOffset>
                </wp:positionH>
                <wp:positionV relativeFrom="paragraph">
                  <wp:posOffset>2148840</wp:posOffset>
                </wp:positionV>
                <wp:extent cx="266700" cy="257175"/>
                <wp:effectExtent l="6350" t="0" r="60325" b="0"/>
                <wp:wrapNone/>
                <wp:docPr id="23" name="肘形连接符 23"/>
                <wp:cNvGraphicFramePr/>
                <a:graphic xmlns:a="http://schemas.openxmlformats.org/drawingml/2006/main">
                  <a:graphicData uri="http://schemas.microsoft.com/office/word/2010/wordprocessingShape">
                    <wps:wsp>
                      <wps:cNvCnPr/>
                      <wps:spPr>
                        <a:xfrm rot="16200000">
                          <a:off x="4106545" y="7167245"/>
                          <a:ext cx="266700" cy="257175"/>
                        </a:xfrm>
                        <a:prstGeom prst="bentConnector3">
                          <a:avLst>
                            <a:gd name="adj1" fmla="val 4988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238.85pt;margin-top:169.2pt;height:20.25pt;width:21pt;rotation:-5898240f;z-index:251664384;mso-width-relative:page;mso-height-relative:page;" filled="f" stroked="t" coordsize="21600,21600" o:gfxdata="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8D9brYAAAACwEAAA8AAAAAAAAAAQAgAAAAIgAAAGRycy9kb3ducmV2Lnht&#10;bFBLAQIUABQAAAAIAIdO4kAjs/NQMgIAACMEAAAOAAAAAAAAAAEAIAAAACcBAABkcnMvZTJvRG9j&#10;LnhtbFBLBQYAAAAABgAGAFkBAADLBQAAAAA=&#10;" adj="10774">
                <v:fill on="f" focussize="0,0"/>
                <v:stroke weight="1pt" color="#FF0000 [3204]"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column">
                  <wp:posOffset>1819275</wp:posOffset>
                </wp:positionH>
                <wp:positionV relativeFrom="paragraph">
                  <wp:posOffset>1958975</wp:posOffset>
                </wp:positionV>
                <wp:extent cx="3038475" cy="704215"/>
                <wp:effectExtent l="0" t="14605" r="28575" b="24130"/>
                <wp:wrapNone/>
                <wp:docPr id="22" name="任意多边形 22"/>
                <wp:cNvGraphicFramePr/>
                <a:graphic xmlns:a="http://schemas.openxmlformats.org/drawingml/2006/main">
                  <a:graphicData uri="http://schemas.microsoft.com/office/word/2010/wordprocessingShape">
                    <wps:wsp>
                      <wps:cNvSpPr/>
                      <wps:spPr>
                        <a:xfrm>
                          <a:off x="2892425" y="6977380"/>
                          <a:ext cx="3038475" cy="704215"/>
                        </a:xfrm>
                        <a:custGeom>
                          <a:avLst/>
                          <a:gdLst>
                            <a:gd name="connisteX0" fmla="*/ 0 w 3038475"/>
                            <a:gd name="connsiteY0" fmla="*/ 3892 h 704255"/>
                            <a:gd name="connisteX1" fmla="*/ 133350 w 3038475"/>
                            <a:gd name="connsiteY1" fmla="*/ 32467 h 704255"/>
                            <a:gd name="connisteX2" fmla="*/ 200025 w 3038475"/>
                            <a:gd name="connsiteY2" fmla="*/ 251542 h 704255"/>
                            <a:gd name="connisteX3" fmla="*/ 238125 w 3038475"/>
                            <a:gd name="connsiteY3" fmla="*/ 299167 h 704255"/>
                            <a:gd name="connisteX4" fmla="*/ 838200 w 3038475"/>
                            <a:gd name="connsiteY4" fmla="*/ 299167 h 704255"/>
                            <a:gd name="connisteX5" fmla="*/ 857250 w 3038475"/>
                            <a:gd name="connsiteY5" fmla="*/ 327742 h 704255"/>
                            <a:gd name="connisteX6" fmla="*/ 1057275 w 3038475"/>
                            <a:gd name="connsiteY6" fmla="*/ 384892 h 704255"/>
                            <a:gd name="connisteX7" fmla="*/ 1333500 w 3038475"/>
                            <a:gd name="connsiteY7" fmla="*/ 499192 h 704255"/>
                            <a:gd name="connisteX8" fmla="*/ 1828800 w 3038475"/>
                            <a:gd name="connsiteY8" fmla="*/ 518242 h 704255"/>
                            <a:gd name="connisteX9" fmla="*/ 2038350 w 3038475"/>
                            <a:gd name="connsiteY9" fmla="*/ 556342 h 704255"/>
                            <a:gd name="connisteX10" fmla="*/ 2152650 w 3038475"/>
                            <a:gd name="connsiteY10" fmla="*/ 670642 h 704255"/>
                            <a:gd name="connisteX11" fmla="*/ 2619375 w 3038475"/>
                            <a:gd name="connsiteY11" fmla="*/ 632542 h 704255"/>
                            <a:gd name="connisteX12" fmla="*/ 2809875 w 3038475"/>
                            <a:gd name="connsiteY12" fmla="*/ 699217 h 704255"/>
                            <a:gd name="connisteX13" fmla="*/ 3038475 w 3038475"/>
                            <a:gd name="connsiteY13" fmla="*/ 499192 h 7042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3038475" h="704255">
                              <a:moveTo>
                                <a:pt x="0" y="3892"/>
                              </a:moveTo>
                              <a:cubicBezTo>
                                <a:pt x="25400" y="5162"/>
                                <a:pt x="93345" y="-17063"/>
                                <a:pt x="133350" y="32467"/>
                              </a:cubicBezTo>
                              <a:cubicBezTo>
                                <a:pt x="173355" y="81997"/>
                                <a:pt x="179070" y="198202"/>
                                <a:pt x="200025" y="251542"/>
                              </a:cubicBezTo>
                              <a:cubicBezTo>
                                <a:pt x="220980" y="304882"/>
                                <a:pt x="110490" y="289642"/>
                                <a:pt x="238125" y="299167"/>
                              </a:cubicBezTo>
                              <a:cubicBezTo>
                                <a:pt x="365760" y="308692"/>
                                <a:pt x="714375" y="293452"/>
                                <a:pt x="838200" y="299167"/>
                              </a:cubicBezTo>
                              <a:cubicBezTo>
                                <a:pt x="962025" y="304882"/>
                                <a:pt x="813435" y="310597"/>
                                <a:pt x="857250" y="327742"/>
                              </a:cubicBezTo>
                              <a:cubicBezTo>
                                <a:pt x="901065" y="344887"/>
                                <a:pt x="962025" y="350602"/>
                                <a:pt x="1057275" y="384892"/>
                              </a:cubicBezTo>
                              <a:cubicBezTo>
                                <a:pt x="1152525" y="419182"/>
                                <a:pt x="1179195" y="472522"/>
                                <a:pt x="1333500" y="499192"/>
                              </a:cubicBezTo>
                              <a:cubicBezTo>
                                <a:pt x="1487805" y="525862"/>
                                <a:pt x="1687830" y="506812"/>
                                <a:pt x="1828800" y="518242"/>
                              </a:cubicBezTo>
                              <a:cubicBezTo>
                                <a:pt x="1969770" y="529672"/>
                                <a:pt x="1973580" y="525862"/>
                                <a:pt x="2038350" y="556342"/>
                              </a:cubicBezTo>
                              <a:cubicBezTo>
                                <a:pt x="2103120" y="586822"/>
                                <a:pt x="2036445" y="655402"/>
                                <a:pt x="2152650" y="670642"/>
                              </a:cubicBezTo>
                              <a:cubicBezTo>
                                <a:pt x="2268855" y="685882"/>
                                <a:pt x="2487930" y="626827"/>
                                <a:pt x="2619375" y="632542"/>
                              </a:cubicBezTo>
                              <a:cubicBezTo>
                                <a:pt x="2750820" y="638257"/>
                                <a:pt x="2726055" y="725887"/>
                                <a:pt x="2809875" y="699217"/>
                              </a:cubicBezTo>
                              <a:cubicBezTo>
                                <a:pt x="2893695" y="672547"/>
                                <a:pt x="2996565" y="540467"/>
                                <a:pt x="3038475" y="499192"/>
                              </a:cubicBezTo>
                            </a:path>
                          </a:pathLst>
                        </a:cu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43.25pt;margin-top:154.25pt;height:55.45pt;width:239.25pt;z-index:251663360;mso-width-relative:page;mso-height-relative:page;" filled="f" stroked="t" coordsize="3038475,704255" o:gfxdata="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PEYNEbaAAAACwEAAA8AAAAA&#10;AAAAAQAgAAAAIgAAAGRycy9kb3ducmV2LnhtbFBLAQIUABQAAAAIAIdO4kAVcOseaQUAAHITAAAO&#10;AAAAAAAAAAEAIAAAACkBAABkcnMvZTJvRG9jLnhtbFBLBQYAAAAABgAGAFkBAAAECQAAAAA=&#10;" path="m0,3892c25400,5162,93345,-17063,133350,32467c173355,81997,179070,198202,200025,251542c220980,304882,110490,289642,238125,299167c365760,308692,714375,293452,838200,299167c962025,304882,813435,310597,857250,327742c901065,344887,962025,350602,1057275,384892c1152525,419182,1179195,472522,1333500,499192c1487805,525862,1687830,506812,1828800,518242c1969770,529672,1973580,525862,2038350,556342c2103120,586822,2036445,655402,2152650,670642c2268855,685882,2487930,626827,2619375,632542c2750820,638257,2726055,725887,2809875,699217c2893695,672547,2996565,540467,3038475,499192e">
                <v:path o:connectlocs="0,3891;133350,32465;200025,251527;238125,299150;838200,299150;857250,327723;1057275,384870;1333500,499163;1828800,518212;2038350,556310;2152650,670603;2619375,632506;2809875,699177;3038475,499163" o:connectangles="0,0,0,0,0,0,0,0,0,0,0,0,0,0"/>
                <v:fill on="f" focussize="0,0"/>
                <v:stroke weight="2.25pt" color="#FF0000 [2404]" miterlimit="8" joinstyle="miter"/>
                <v:imagedata o:title=""/>
                <o:lock v:ext="edit" aspectratio="f"/>
              </v:shape>
            </w:pict>
          </mc:Fallback>
        </mc:AlternateContent>
      </w:r>
      <w:r>
        <w:drawing>
          <wp:inline distT="0" distB="0" distL="114300" distR="114300">
            <wp:extent cx="5411470" cy="3637280"/>
            <wp:effectExtent l="0" t="0" r="1778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411470" cy="3637280"/>
                    </a:xfrm>
                    <a:prstGeom prst="rect">
                      <a:avLst/>
                    </a:prstGeom>
                    <a:noFill/>
                    <a:ln>
                      <a:noFill/>
                    </a:ln>
                  </pic:spPr>
                </pic:pic>
              </a:graphicData>
            </a:graphic>
          </wp:inline>
        </w:drawing>
      </w:r>
      <w:r>
        <w:rPr>
          <w:sz w:val="18"/>
        </w:rPr>
        <mc:AlternateContent>
          <mc:Choice Requires="wps">
            <w:drawing>
              <wp:anchor distT="0" distB="0" distL="114300" distR="114300" simplePos="0" relativeHeight="251662336" behindDoc="0" locked="0" layoutInCell="1" allowOverlap="1">
                <wp:simplePos x="0" y="0"/>
                <wp:positionH relativeFrom="column">
                  <wp:posOffset>1362075</wp:posOffset>
                </wp:positionH>
                <wp:positionV relativeFrom="paragraph">
                  <wp:posOffset>743585</wp:posOffset>
                </wp:positionV>
                <wp:extent cx="581025" cy="285750"/>
                <wp:effectExtent l="0" t="0" r="0" b="0"/>
                <wp:wrapNone/>
                <wp:docPr id="21" name="文本框 21"/>
                <wp:cNvGraphicFramePr/>
                <a:graphic xmlns:a="http://schemas.openxmlformats.org/drawingml/2006/main">
                  <a:graphicData uri="http://schemas.microsoft.com/office/word/2010/wordprocessingShape">
                    <wps:wsp>
                      <wps:cNvSpPr txBox="1"/>
                      <wps:spPr>
                        <a:xfrm>
                          <a:off x="2606675" y="5695315"/>
                          <a:ext cx="58102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C段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25pt;margin-top:58.55pt;height:22.5pt;width:45.75pt;z-index:251662336;mso-width-relative:page;mso-height-relative:page;" filled="f" stroked="f" coordsize="21600,21600" o:gfxdata="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RUofdsAAAALAQAADwAAAAAA&#10;AAABACAAAAAiAAAAZHJzL2Rvd25yZXYueG1sUEsBAhQAFAAAAAgAh07iQAjZX2VJAgAAcwQAAA4A&#10;AAAAAAAAAQAgAAAAKgEAAGRycy9lMm9Eb2MueG1sUEsFBgAAAAAGAAYAWQEAAOUF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C段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1362075</wp:posOffset>
                </wp:positionH>
                <wp:positionV relativeFrom="paragraph">
                  <wp:posOffset>972185</wp:posOffset>
                </wp:positionV>
                <wp:extent cx="180975" cy="247650"/>
                <wp:effectExtent l="0" t="0" r="66675" b="19050"/>
                <wp:wrapNone/>
                <wp:docPr id="11" name="肘形连接符 11"/>
                <wp:cNvGraphicFramePr/>
                <a:graphic xmlns:a="http://schemas.openxmlformats.org/drawingml/2006/main">
                  <a:graphicData uri="http://schemas.microsoft.com/office/word/2010/wordprocessingShape">
                    <wps:wsp>
                      <wps:cNvCnPr>
                        <a:stCxn id="9" idx="6"/>
                      </wps:cNvCnPr>
                      <wps:spPr>
                        <a:xfrm flipV="1">
                          <a:off x="2435225" y="5990590"/>
                          <a:ext cx="180975" cy="247650"/>
                        </a:xfrm>
                        <a:prstGeom prst="bentConnector2">
                          <a:avLst/>
                        </a:prstGeom>
                        <a:ln>
                          <a:solidFill>
                            <a:srgbClr val="00B05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107.25pt;margin-top:76.55pt;height:19.5pt;width:14.25pt;z-index:251661312;mso-width-relative:page;mso-height-relative:page;" filled="f" stroked="t" coordsize="21600,21600" o:gfxdata="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oN42baAAAACwEAAA8AAAAAAAAAAQAgAAAAIgAAAGRycy9kb3ducmV2LnhtbFBLAQIU&#10;ABQAAAAIAIdO4kDTdHpkKgIAABcEAAAOAAAAAAAAAAEAIAAAACkBAABkcnMvZTJvRG9jLnhtbFBL&#10;BQYAAAAABgAGAFkBAADFBQAAAAA=&#10;">
                <v:fill on="f" focussize="0,0"/>
                <v:stroke weight="1pt" color="#00B050 [3204]"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371475</wp:posOffset>
                </wp:positionH>
                <wp:positionV relativeFrom="paragraph">
                  <wp:posOffset>648335</wp:posOffset>
                </wp:positionV>
                <wp:extent cx="1457325" cy="1295400"/>
                <wp:effectExtent l="6985" t="12700" r="21590" b="25400"/>
                <wp:wrapNone/>
                <wp:docPr id="9" name="任意多边形 9"/>
                <wp:cNvGraphicFramePr/>
                <a:graphic xmlns:a="http://schemas.openxmlformats.org/drawingml/2006/main">
                  <a:graphicData uri="http://schemas.microsoft.com/office/word/2010/wordprocessingShape">
                    <wps:wsp>
                      <wps:cNvSpPr/>
                      <wps:spPr>
                        <a:xfrm>
                          <a:off x="1444625" y="5666740"/>
                          <a:ext cx="1457325" cy="1295400"/>
                        </a:xfrm>
                        <a:custGeom>
                          <a:avLst/>
                          <a:gdLst>
                            <a:gd name="connisteX0" fmla="*/ 0 w 1457325"/>
                            <a:gd name="connsiteY0" fmla="*/ 0 h 1295400"/>
                            <a:gd name="connisteX1" fmla="*/ 295275 w 1457325"/>
                            <a:gd name="connsiteY1" fmla="*/ 171450 h 1295400"/>
                            <a:gd name="connisteX2" fmla="*/ 457200 w 1457325"/>
                            <a:gd name="connsiteY2" fmla="*/ 314325 h 1295400"/>
                            <a:gd name="connisteX3" fmla="*/ 619125 w 1457325"/>
                            <a:gd name="connsiteY3" fmla="*/ 361950 h 1295400"/>
                            <a:gd name="connisteX4" fmla="*/ 733425 w 1457325"/>
                            <a:gd name="connsiteY4" fmla="*/ 419100 h 1295400"/>
                            <a:gd name="connisteX5" fmla="*/ 866775 w 1457325"/>
                            <a:gd name="connsiteY5" fmla="*/ 523875 h 1295400"/>
                            <a:gd name="connisteX6" fmla="*/ 990600 w 1457325"/>
                            <a:gd name="connsiteY6" fmla="*/ 571500 h 1295400"/>
                            <a:gd name="connisteX7" fmla="*/ 990600 w 1457325"/>
                            <a:gd name="connsiteY7" fmla="*/ 600075 h 1295400"/>
                            <a:gd name="connisteX8" fmla="*/ 971550 w 1457325"/>
                            <a:gd name="connsiteY8" fmla="*/ 742950 h 1295400"/>
                            <a:gd name="connisteX9" fmla="*/ 1009650 w 1457325"/>
                            <a:gd name="connsiteY9" fmla="*/ 942975 h 1295400"/>
                            <a:gd name="connisteX10" fmla="*/ 1085850 w 1457325"/>
                            <a:gd name="connsiteY10" fmla="*/ 1076325 h 1295400"/>
                            <a:gd name="connisteX11" fmla="*/ 1190625 w 1457325"/>
                            <a:gd name="connsiteY11" fmla="*/ 1104900 h 1295400"/>
                            <a:gd name="connisteX12" fmla="*/ 1247775 w 1457325"/>
                            <a:gd name="connsiteY12" fmla="*/ 1200150 h 1295400"/>
                            <a:gd name="connisteX13" fmla="*/ 1323975 w 1457325"/>
                            <a:gd name="connsiteY13" fmla="*/ 1257300 h 1295400"/>
                            <a:gd name="connisteX14" fmla="*/ 1457325 w 1457325"/>
                            <a:gd name="connsiteY14" fmla="*/ 1295400 h 12954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1457325" h="1295400">
                              <a:moveTo>
                                <a:pt x="0" y="0"/>
                              </a:moveTo>
                              <a:cubicBezTo>
                                <a:pt x="55880" y="31115"/>
                                <a:pt x="203835" y="108585"/>
                                <a:pt x="295275" y="171450"/>
                              </a:cubicBezTo>
                              <a:cubicBezTo>
                                <a:pt x="386715" y="234315"/>
                                <a:pt x="392430" y="276225"/>
                                <a:pt x="457200" y="314325"/>
                              </a:cubicBezTo>
                              <a:cubicBezTo>
                                <a:pt x="521970" y="352425"/>
                                <a:pt x="563880" y="340995"/>
                                <a:pt x="619125" y="361950"/>
                              </a:cubicBezTo>
                              <a:cubicBezTo>
                                <a:pt x="674370" y="382905"/>
                                <a:pt x="683895" y="386715"/>
                                <a:pt x="733425" y="419100"/>
                              </a:cubicBezTo>
                              <a:cubicBezTo>
                                <a:pt x="782955" y="451485"/>
                                <a:pt x="815340" y="493395"/>
                                <a:pt x="866775" y="523875"/>
                              </a:cubicBezTo>
                              <a:cubicBezTo>
                                <a:pt x="918210" y="554355"/>
                                <a:pt x="965835" y="556260"/>
                                <a:pt x="990600" y="571500"/>
                              </a:cubicBezTo>
                              <a:cubicBezTo>
                                <a:pt x="1015365" y="586740"/>
                                <a:pt x="994410" y="565785"/>
                                <a:pt x="990600" y="600075"/>
                              </a:cubicBezTo>
                              <a:cubicBezTo>
                                <a:pt x="986790" y="634365"/>
                                <a:pt x="967740" y="674370"/>
                                <a:pt x="971550" y="742950"/>
                              </a:cubicBezTo>
                              <a:cubicBezTo>
                                <a:pt x="975360" y="811530"/>
                                <a:pt x="986790" y="876300"/>
                                <a:pt x="1009650" y="942975"/>
                              </a:cubicBezTo>
                              <a:cubicBezTo>
                                <a:pt x="1032510" y="1009650"/>
                                <a:pt x="1049655" y="1043940"/>
                                <a:pt x="1085850" y="1076325"/>
                              </a:cubicBezTo>
                              <a:cubicBezTo>
                                <a:pt x="1122045" y="1108710"/>
                                <a:pt x="1158240" y="1080135"/>
                                <a:pt x="1190625" y="1104900"/>
                              </a:cubicBezTo>
                              <a:cubicBezTo>
                                <a:pt x="1223010" y="1129665"/>
                                <a:pt x="1221105" y="1169670"/>
                                <a:pt x="1247775" y="1200150"/>
                              </a:cubicBezTo>
                              <a:cubicBezTo>
                                <a:pt x="1274445" y="1230630"/>
                                <a:pt x="1282065" y="1238250"/>
                                <a:pt x="1323975" y="1257300"/>
                              </a:cubicBezTo>
                              <a:cubicBezTo>
                                <a:pt x="1365885" y="1276350"/>
                                <a:pt x="1431925" y="1289050"/>
                                <a:pt x="1457325" y="1295400"/>
                              </a:cubicBezTo>
                            </a:path>
                          </a:pathLst>
                        </a:custGeom>
                        <a:noFill/>
                        <a:ln w="28575">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9.25pt;margin-top:51.05pt;height:102pt;width:114.75pt;z-index:251660288;mso-width-relative:page;mso-height-relative:page;" filled="f" stroked="t" coordsize="1457325,1295400" o:gfxdata="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I/GnUTX&#10;AAAACgEAAA8AAAAAAAAAAQAgAAAAIgAAAGRycy9kb3ducmV2LnhtbFBLAQIUABQAAAAIAIdO4kDp&#10;y7tLsQUAAKkUAAAOAAAAAAAAAAEAIAAAACYBAABkcnMvZTJvRG9jLnhtbFBLBQYAAAAABgAGAFkB&#10;AABJCQAAAAA=&#10;" path="m0,0c55880,31115,203835,108585,295275,171450c386715,234315,392430,276225,457200,314325c521970,352425,563880,340995,619125,361950c674370,382905,683895,386715,733425,419100c782955,451485,815340,493395,866775,523875c918210,554355,965835,556260,990600,571500c1015365,586740,994410,565785,990600,600075c986790,634365,967740,674370,971550,742950c975360,811530,986790,876300,1009650,942975c1032510,1009650,1049655,1043940,1085850,1076325c1122045,1108710,1158240,1080135,1190625,1104900c1223010,1129665,1221105,1169670,1247775,1200150c1274445,1230630,1282065,1238250,1323975,1257300c1365885,1276350,1431925,1289050,1457325,1295400e">
                <v:path o:connectlocs="0,0;295275,171450;457200,314325;619125,361950;733425,419100;866775,523875;990600,571500;990600,600075;971550,742950;1009650,942975;1085850,1076325;1190625,1104900;1247775,1200150;1323975,1257300;1457325,1295400" o:connectangles="0,0,0,0,0,0,0,0,0,0,0,0,0,0,0"/>
                <v:fill on="f" focussize="0,0"/>
                <v:stroke weight="2.25pt" color="#00B050 [2404]" miterlimit="8" joinstyle="miter"/>
                <v:imagedata o:title=""/>
                <o:lock v:ext="edit" aspectratio="f"/>
              </v:shape>
            </w:pict>
          </mc:Fallback>
        </mc:AlternateContent>
      </w:r>
    </w:p>
    <w:p>
      <w:pPr>
        <w:pStyle w:val="3"/>
      </w:pP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rPr>
      </w:pPr>
      <w:bookmarkStart w:id="11" w:name="_Toc5230"/>
      <w:r>
        <w:rPr>
          <w:rFonts w:hint="eastAsia"/>
          <w:b/>
          <w:sz w:val="28"/>
          <w:szCs w:val="20"/>
        </w:rPr>
        <w:t>3.3建设规模与主要技术指标</w:t>
      </w:r>
      <w:bookmarkEnd w:id="11"/>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r>
        <w:rPr>
          <w:rFonts w:hint="eastAsia"/>
          <w:b/>
          <w:sz w:val="24"/>
          <w:szCs w:val="18"/>
        </w:rPr>
        <w:t>3.3.1建设规模与主要技术指标</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84" w:firstLineChars="300"/>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自贡市富荣产城融合带基础设施建设项目（C、D段）</w:t>
      </w:r>
      <w:r>
        <w:rPr>
          <w:rFonts w:hint="eastAsia" w:ascii="宋体" w:hAnsi="宋体" w:eastAsia="宋体" w:cs="宋体"/>
          <w:spacing w:val="-6"/>
          <w:sz w:val="24"/>
          <w:szCs w:val="24"/>
        </w:rPr>
        <w:t>设计为道路等级为城市主干路，道路长 24.653km（其中 C 段起于成佳航空园区，止于贡井区长土镇，长 8.74km；D 段起于贡井区长土镇，止于东环线交叉口，长 15.913km），道路红线宽度 70m（其中 C 段车行道宽 30m，中央绿化带宽 2m；D 段主车道宽 30m，辅道各宽 7.5m，中央绿化带宽 2m，主道和辅道分隔带宽 5m）。主要建设内容包括道路工程、桥涵工程、排水工程、照明工程、绿化工程、交通工程、综合管廊工程、道路红线内绿化工程、道路红线两侧生态修复工程及配套服务设施</w:t>
      </w:r>
      <w:r>
        <w:rPr>
          <w:rFonts w:hint="eastAsia" w:ascii="宋体" w:hAnsi="宋体" w:eastAsia="宋体" w:cs="宋体"/>
          <w:spacing w:val="-6"/>
          <w:sz w:val="24"/>
          <w:szCs w:val="24"/>
          <w:lang w:eastAsia="zh-CN"/>
        </w:rPr>
        <w:t>。主要技术指标及组成见表3.3-1、表3.3-2和表3.3-3。</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ascii="黑体" w:hAnsi="黑体" w:eastAsia="黑体" w:cs="黑体"/>
          <w:sz w:val="23"/>
          <w:szCs w:val="23"/>
        </w:rPr>
      </w:pPr>
      <w:r>
        <w:rPr>
          <w:rFonts w:ascii="黑体" w:hAnsi="黑体" w:eastAsia="黑体" w:cs="黑体"/>
          <w:b/>
          <w:bCs/>
          <w:spacing w:val="1"/>
          <w:sz w:val="23"/>
          <w:szCs w:val="23"/>
        </w:rPr>
        <w:t>表3.3-1</w:t>
      </w:r>
      <w:r>
        <w:rPr>
          <w:rFonts w:ascii="黑体" w:hAnsi="黑体" w:eastAsia="黑体" w:cs="黑体"/>
          <w:spacing w:val="97"/>
          <w:sz w:val="23"/>
          <w:szCs w:val="23"/>
        </w:rPr>
        <w:t xml:space="preserve"> </w:t>
      </w:r>
      <w:r>
        <w:rPr>
          <w:rFonts w:hint="eastAsia" w:ascii="黑体" w:hAnsi="黑体" w:eastAsia="黑体" w:cs="黑体"/>
          <w:b/>
          <w:bCs/>
          <w:spacing w:val="1"/>
          <w:sz w:val="23"/>
          <w:szCs w:val="23"/>
          <w:lang w:val="en-US" w:eastAsia="zh-CN"/>
        </w:rPr>
        <w:t>主线车行道</w:t>
      </w:r>
      <w:r>
        <w:rPr>
          <w:rFonts w:ascii="黑体" w:hAnsi="黑体" w:eastAsia="黑体" w:cs="黑体"/>
          <w:b/>
          <w:bCs/>
          <w:spacing w:val="1"/>
          <w:sz w:val="23"/>
          <w:szCs w:val="23"/>
        </w:rPr>
        <w:t>主要技术指标表</w:t>
      </w:r>
    </w:p>
    <w:p>
      <w:pPr>
        <w:spacing w:line="72" w:lineRule="exact"/>
      </w:pPr>
    </w:p>
    <w:tbl>
      <w:tblPr>
        <w:tblStyle w:val="17"/>
        <w:tblW w:w="85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920"/>
        <w:gridCol w:w="2125"/>
        <w:gridCol w:w="990"/>
        <w:gridCol w:w="1320"/>
        <w:gridCol w:w="1530"/>
        <w:gridCol w:w="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序号</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项目名称</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单位</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环评报告</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(经现场踏勘) 实际工程</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对比结论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1</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公路等级</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城市主干路</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城市主干路</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2</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设计行车速度</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km/h</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0" w:type="dxa"/>
            <w:tcBorders>
              <w:left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3</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车道宽度</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.5</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.5</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4</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道数</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车道</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双向</w:t>
            </w:r>
            <w:r>
              <w:rPr>
                <w:rFonts w:hint="eastAsia" w:ascii="宋体" w:hAnsi="宋体" w:eastAsia="宋体" w:cs="宋体"/>
                <w:sz w:val="21"/>
                <w:szCs w:val="21"/>
                <w:lang w:val="en-US" w:eastAsia="zh-CN"/>
              </w:rPr>
              <w:t>8</w:t>
            </w:r>
            <w:r>
              <w:rPr>
                <w:rFonts w:hint="eastAsia" w:ascii="宋体" w:hAnsi="宋体" w:eastAsia="宋体" w:cs="宋体"/>
                <w:sz w:val="21"/>
                <w:szCs w:val="21"/>
              </w:rPr>
              <w:t>道</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双向</w:t>
            </w:r>
            <w:r>
              <w:rPr>
                <w:rFonts w:hint="eastAsia" w:ascii="宋体" w:hAnsi="宋体" w:eastAsia="宋体" w:cs="宋体"/>
                <w:sz w:val="21"/>
                <w:szCs w:val="21"/>
                <w:lang w:val="en-US" w:eastAsia="zh-CN"/>
              </w:rPr>
              <w:t>8</w:t>
            </w:r>
            <w:r>
              <w:rPr>
                <w:rFonts w:hint="eastAsia" w:ascii="宋体" w:hAnsi="宋体" w:eastAsia="宋体" w:cs="宋体"/>
                <w:sz w:val="21"/>
                <w:szCs w:val="21"/>
              </w:rPr>
              <w:t>道</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净空高度</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4.5</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4.5</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firstLine="840" w:firstLineChars="400"/>
              <w:jc w:val="both"/>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桥梁设计荷载</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firstLine="420" w:firstLineChars="200"/>
              <w:jc w:val="both"/>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城</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A级</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城</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A级</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停车视距</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平面线一般最小半径</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不设超高的圆曲线最小半径</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缓和曲线最小长度</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圆曲线最小长度</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170.88</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170.88</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最大坡度</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4.874</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4.874</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最小坡长</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183.203</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183.203</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vMerge w:val="restart"/>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045" w:type="dxa"/>
            <w:gridSpan w:val="2"/>
            <w:vMerge w:val="restart"/>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竖曲线一般/极限最小半径</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1900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1900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vMerge w:val="continue"/>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p>
        </w:tc>
        <w:tc>
          <w:tcPr>
            <w:tcW w:w="3045"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1850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1850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竖曲线最小长度一般值/极限值</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m</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119.683</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119.683</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both"/>
              <w:textAlignment w:val="baseline"/>
              <w:rPr>
                <w:rFonts w:hint="eastAsia" w:ascii="宋体" w:hAnsi="宋体" w:eastAsia="宋体" w:cs="宋体"/>
                <w:sz w:val="21"/>
                <w:szCs w:val="21"/>
              </w:rPr>
            </w:pPr>
            <w:r>
              <w:rPr>
                <w:rFonts w:hint="eastAsia" w:ascii="宋体" w:hAnsi="宋体" w:eastAsia="宋体" w:cs="宋体"/>
                <w:sz w:val="21"/>
                <w:szCs w:val="21"/>
              </w:rPr>
              <w:t>抗震设防烈度路面面层类型</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度</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70" w:type="dxa"/>
            <w:vMerge w:val="restart"/>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045" w:type="dxa"/>
            <w:gridSpan w:val="2"/>
            <w:vMerge w:val="restart"/>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路面横坡</w:t>
            </w:r>
          </w:p>
        </w:tc>
        <w:tc>
          <w:tcPr>
            <w:tcW w:w="990" w:type="dxa"/>
            <w:vMerge w:val="restart"/>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2.0%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70" w:type="dxa"/>
            <w:vMerge w:val="continue"/>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p>
        </w:tc>
        <w:tc>
          <w:tcPr>
            <w:tcW w:w="3045" w:type="dxa"/>
            <w:gridSpan w:val="2"/>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p>
        </w:tc>
        <w:tc>
          <w:tcPr>
            <w:tcW w:w="990" w:type="dxa"/>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1.5%</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抗震设防烈度</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度</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路面面层类型</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沥青混凝土</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沥青混凝土</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04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路面设计基准期</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920" w:type="dxa"/>
            <w:vMerge w:val="restart"/>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桥梁</w:t>
            </w:r>
          </w:p>
        </w:tc>
        <w:tc>
          <w:tcPr>
            <w:tcW w:w="212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设计基准期</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100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70" w:type="dxa"/>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920" w:type="dxa"/>
            <w:vMerge w:val="continue"/>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p>
        </w:tc>
        <w:tc>
          <w:tcPr>
            <w:tcW w:w="2125"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新建桥梁设计使用年限</w:t>
            </w:r>
          </w:p>
        </w:tc>
        <w:tc>
          <w:tcPr>
            <w:tcW w:w="99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w:t>
            </w:r>
          </w:p>
        </w:tc>
        <w:tc>
          <w:tcPr>
            <w:tcW w:w="132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530"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100</w:t>
            </w:r>
          </w:p>
        </w:tc>
        <w:tc>
          <w:tcPr>
            <w:tcW w:w="974"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rPr>
            </w:pPr>
            <w:r>
              <w:rPr>
                <w:rFonts w:hint="eastAsia" w:ascii="宋体" w:hAnsi="宋体" w:eastAsia="宋体" w:cs="宋体"/>
                <w:sz w:val="21"/>
                <w:szCs w:val="21"/>
              </w:rPr>
              <w:t>无变化</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黑体" w:hAnsi="黑体" w:eastAsia="黑体" w:cs="黑体"/>
          <w:b/>
          <w:bCs/>
          <w:spacing w:val="1"/>
          <w:sz w:val="23"/>
          <w:szCs w:val="23"/>
          <w:lang w:val="en-US" w:eastAsia="zh-CN"/>
        </w:rPr>
      </w:pPr>
      <w:r>
        <w:rPr>
          <w:rFonts w:hint="eastAsia" w:ascii="黑体" w:hAnsi="黑体" w:eastAsia="黑体" w:cs="黑体"/>
          <w:b/>
          <w:bCs/>
          <w:spacing w:val="1"/>
          <w:sz w:val="23"/>
          <w:szCs w:val="23"/>
          <w:lang w:val="en-US" w:eastAsia="zh-CN"/>
        </w:rPr>
        <w:t>表3.3-2 辅线主要技术指标表</w:t>
      </w:r>
    </w:p>
    <w:p>
      <w:pPr>
        <w:pStyle w:val="18"/>
        <w:kinsoku w:val="0"/>
        <w:overflowPunct w:val="0"/>
        <w:spacing w:before="6" w:beforeLines="0" w:afterLines="0"/>
        <w:rPr>
          <w:rFonts w:hint="default" w:ascii="Times New Roman" w:hAnsi="Times New Roman" w:eastAsia="Times New Roman"/>
          <w:sz w:val="4"/>
          <w:szCs w:val="24"/>
        </w:rPr>
      </w:pPr>
    </w:p>
    <w:tbl>
      <w:tblPr>
        <w:tblStyle w:val="13"/>
        <w:tblW w:w="8698"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7"/>
        <w:gridCol w:w="636"/>
        <w:gridCol w:w="1530"/>
        <w:gridCol w:w="908"/>
        <w:gridCol w:w="1539"/>
        <w:gridCol w:w="1804"/>
        <w:gridCol w:w="1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27" w:type="dxa"/>
            <w:tcBorders>
              <w:top w:val="single" w:color="000000" w:sz="12"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2166" w:type="dxa"/>
            <w:gridSpan w:val="2"/>
            <w:tcBorders>
              <w:top w:val="single" w:color="000000" w:sz="12"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指标名称</w:t>
            </w:r>
          </w:p>
        </w:tc>
        <w:tc>
          <w:tcPr>
            <w:tcW w:w="908" w:type="dxa"/>
            <w:tcBorders>
              <w:top w:val="single" w:color="000000" w:sz="12"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w:t>
            </w:r>
          </w:p>
        </w:tc>
        <w:tc>
          <w:tcPr>
            <w:tcW w:w="1539" w:type="dxa"/>
            <w:tcBorders>
              <w:top w:val="single" w:color="000000" w:sz="12" w:space="0"/>
              <w:left w:val="single" w:color="000000" w:sz="6" w:space="0"/>
              <w:bottom w:val="single" w:color="000000" w:sz="6" w:space="0"/>
              <w:right w:val="single" w:color="000000" w:sz="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环评报告</w:t>
            </w:r>
          </w:p>
        </w:tc>
        <w:tc>
          <w:tcPr>
            <w:tcW w:w="1804" w:type="dxa"/>
            <w:tcBorders>
              <w:top w:val="single" w:color="000000" w:sz="12" w:space="0"/>
              <w:left w:val="single" w:color="000000" w:sz="2" w:space="0"/>
              <w:bottom w:val="single" w:color="000000" w:sz="6" w:space="0"/>
              <w:right w:val="single" w:color="000000" w:sz="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(经现场踏勘) 实际工程</w:t>
            </w:r>
          </w:p>
        </w:tc>
        <w:tc>
          <w:tcPr>
            <w:tcW w:w="1554" w:type="dxa"/>
            <w:tcBorders>
              <w:top w:val="single" w:color="000000" w:sz="12" w:space="0"/>
              <w:left w:val="single" w:color="000000" w:sz="2"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对比结论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道路等级</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tc>
        <w:tc>
          <w:tcPr>
            <w:tcW w:w="1539" w:type="dxa"/>
            <w:tcBorders>
              <w:top w:val="single" w:color="000000" w:sz="6" w:space="0"/>
              <w:left w:val="single" w:color="000000" w:sz="6" w:space="0"/>
              <w:bottom w:val="single" w:color="000000" w:sz="6" w:space="0"/>
              <w:right w:val="single" w:color="000000" w:sz="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城市主干路</w:t>
            </w:r>
          </w:p>
        </w:tc>
        <w:tc>
          <w:tcPr>
            <w:tcW w:w="1804" w:type="dxa"/>
            <w:tcBorders>
              <w:top w:val="single" w:color="000000" w:sz="6" w:space="0"/>
              <w:left w:val="single" w:color="000000" w:sz="2" w:space="0"/>
              <w:bottom w:val="single" w:color="000000" w:sz="6" w:space="0"/>
              <w:right w:val="single" w:color="000000" w:sz="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城市主干路</w:t>
            </w:r>
          </w:p>
        </w:tc>
        <w:tc>
          <w:tcPr>
            <w:tcW w:w="1554" w:type="dxa"/>
            <w:tcBorders>
              <w:top w:val="single" w:color="000000" w:sz="6" w:space="0"/>
              <w:left w:val="single" w:color="000000" w:sz="2"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2</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设计车速</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mk/ h</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40</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40</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车道宽度</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3. 5</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3. 5</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车道数</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双向 </w:t>
            </w:r>
            <w:r>
              <w:rPr>
                <w:rFonts w:hint="default" w:ascii="宋体" w:hAnsi="宋体" w:eastAsia="宋体" w:cs="宋体"/>
                <w:sz w:val="21"/>
                <w:szCs w:val="21"/>
                <w:lang w:val="en-US" w:eastAsia="zh-CN"/>
              </w:rPr>
              <w:t xml:space="preserve">4 </w:t>
            </w:r>
            <w:r>
              <w:rPr>
                <w:rFonts w:hint="eastAsia" w:ascii="宋体" w:hAnsi="宋体" w:eastAsia="宋体" w:cs="宋体"/>
                <w:sz w:val="21"/>
                <w:szCs w:val="21"/>
                <w:lang w:val="en-US" w:eastAsia="zh-CN"/>
              </w:rPr>
              <w:t>车道</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 xml:space="preserve">双向 </w:t>
            </w:r>
            <w:r>
              <w:rPr>
                <w:rFonts w:hint="default" w:ascii="宋体" w:hAnsi="宋体" w:eastAsia="宋体" w:cs="宋体"/>
                <w:sz w:val="21"/>
                <w:szCs w:val="21"/>
                <w:lang w:val="en-US" w:eastAsia="zh-CN"/>
              </w:rPr>
              <w:t xml:space="preserve">4 </w:t>
            </w:r>
            <w:r>
              <w:rPr>
                <w:rFonts w:hint="eastAsia" w:ascii="宋体" w:hAnsi="宋体" w:eastAsia="宋体" w:cs="宋体"/>
                <w:sz w:val="21"/>
                <w:szCs w:val="21"/>
                <w:lang w:val="en-US" w:eastAsia="zh-CN"/>
              </w:rPr>
              <w:t>车道</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6</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净空高度</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4.5</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4.5</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6</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桥涵设计荷载</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城</w:t>
            </w:r>
            <w:r>
              <w:rPr>
                <w:rFonts w:hint="default" w:ascii="宋体" w:hAnsi="宋体" w:eastAsia="宋体" w:cs="宋体"/>
                <w:sz w:val="21"/>
                <w:szCs w:val="21"/>
                <w:lang w:val="en-US" w:eastAsia="zh-CN"/>
              </w:rPr>
              <w:t>-A</w:t>
            </w:r>
            <w:r>
              <w:rPr>
                <w:rFonts w:hint="eastAsia" w:ascii="宋体" w:hAnsi="宋体" w:eastAsia="宋体" w:cs="宋体"/>
                <w:sz w:val="21"/>
                <w:szCs w:val="21"/>
                <w:lang w:val="en-US" w:eastAsia="zh-CN"/>
              </w:rPr>
              <w:t>级</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城</w:t>
            </w:r>
            <w:r>
              <w:rPr>
                <w:rFonts w:hint="default" w:ascii="宋体" w:hAnsi="宋体" w:eastAsia="宋体" w:cs="宋体"/>
                <w:sz w:val="21"/>
                <w:szCs w:val="21"/>
                <w:lang w:val="en-US" w:eastAsia="zh-CN"/>
              </w:rPr>
              <w:t>-A</w:t>
            </w:r>
            <w:r>
              <w:rPr>
                <w:rFonts w:hint="eastAsia" w:ascii="宋体" w:hAnsi="宋体" w:eastAsia="宋体" w:cs="宋体"/>
                <w:sz w:val="21"/>
                <w:szCs w:val="21"/>
                <w:lang w:val="en-US" w:eastAsia="zh-CN"/>
              </w:rPr>
              <w:t>级</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7</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停车视距</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40</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40</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8</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平曲线一般最小半径</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280</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280</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9</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不设超高的圆曲线最小半径</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300</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300</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10</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缓和曲线最小长度</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70</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70</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11</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圆曲线最小长度</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139.999</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139.999</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12</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最大纵坡</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6.258</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6.258</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最小坡长</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111.93</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111.93</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27" w:type="dxa"/>
            <w:vMerge w:val="restart"/>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14</w:t>
            </w:r>
          </w:p>
        </w:tc>
        <w:tc>
          <w:tcPr>
            <w:tcW w:w="2166" w:type="dxa"/>
            <w:gridSpan w:val="2"/>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竖曲线一般／极限最小半径</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3000</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3000</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vMerge w:val="continue"/>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2166" w:type="dxa"/>
            <w:gridSpan w:val="2"/>
            <w:vMerge w:val="continue"/>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4000</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4000</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15</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竖曲线最小长度一般值／极限值</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m</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91.239</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91.239</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16</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路面横坡</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0/ 01</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1.5%</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1.5%</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17</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抗震设防烈度</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度</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7</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7</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18</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路面面层类型</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沥青混澡土</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沥青混澡土</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727" w:type="dxa"/>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19</w:t>
            </w:r>
          </w:p>
        </w:tc>
        <w:tc>
          <w:tcPr>
            <w:tcW w:w="216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路面设计基准期</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年</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15</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15</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27" w:type="dxa"/>
            <w:vMerge w:val="restart"/>
            <w:tcBorders>
              <w:top w:val="single" w:color="000000" w:sz="6" w:space="0"/>
              <w:left w:val="single" w:color="000000" w:sz="12"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20</w:t>
            </w:r>
          </w:p>
        </w:tc>
        <w:tc>
          <w:tcPr>
            <w:tcW w:w="636"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桥梁</w:t>
            </w:r>
          </w:p>
        </w:tc>
        <w:tc>
          <w:tcPr>
            <w:tcW w:w="1530"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pPr>
            <w:r>
              <w:rPr>
                <w:rFonts w:hint="eastAsia" w:ascii="宋体" w:hAnsi="宋体" w:eastAsia="宋体" w:cs="宋体"/>
                <w:sz w:val="21"/>
                <w:szCs w:val="21"/>
                <w:lang w:val="en-US" w:eastAsia="zh-CN"/>
              </w:rPr>
              <w:t>设计基准期</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年</w:t>
            </w:r>
          </w:p>
        </w:tc>
        <w:tc>
          <w:tcPr>
            <w:tcW w:w="153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100</w:t>
            </w:r>
          </w:p>
        </w:tc>
        <w:tc>
          <w:tcPr>
            <w:tcW w:w="180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554" w:type="dxa"/>
            <w:tcBorders>
              <w:top w:val="single" w:color="000000" w:sz="6" w:space="0"/>
              <w:left w:val="single" w:color="000000" w:sz="6" w:space="0"/>
              <w:bottom w:val="single" w:color="000000" w:sz="6"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727" w:type="dxa"/>
            <w:vMerge w:val="continue"/>
            <w:tcBorders>
              <w:top w:val="single" w:color="000000" w:sz="6" w:space="0"/>
              <w:left w:val="single" w:color="000000" w:sz="12" w:space="0"/>
              <w:bottom w:val="single" w:color="000000" w:sz="12" w:space="0"/>
              <w:right w:val="single" w:color="000000" w:sz="6" w:space="0"/>
              <w:tl2br w:val="nil"/>
              <w:tr2bl w:val="nil"/>
            </w:tcBorders>
            <w:noWrap w:val="0"/>
            <w:vAlign w:val="top"/>
          </w:tcPr>
          <w:p>
            <w:pPr>
              <w:pStyle w:val="18"/>
              <w:keepNext w:val="0"/>
              <w:keepLines w:val="0"/>
              <w:pageBreakBefore w:val="0"/>
              <w:widowControl/>
              <w:kinsoku w:val="0"/>
              <w:wordWrap/>
              <w:overflowPunct w:val="0"/>
              <w:topLinePunct w:val="0"/>
              <w:autoSpaceDE w:val="0"/>
              <w:autoSpaceDN w:val="0"/>
              <w:bidi w:val="0"/>
              <w:adjustRightInd w:val="0"/>
              <w:snapToGrid w:val="0"/>
              <w:spacing w:beforeLines="0" w:afterLines="0" w:line="240" w:lineRule="atLeast"/>
              <w:textAlignment w:val="baseline"/>
              <w:rPr>
                <w:rFonts w:hint="default" w:ascii="宋体" w:hAnsi="宋体" w:eastAsia="宋体" w:cs="宋体"/>
                <w:sz w:val="21"/>
                <w:szCs w:val="21"/>
                <w:lang w:val="en-US" w:eastAsia="zh-CN"/>
              </w:rPr>
            </w:pPr>
          </w:p>
        </w:tc>
        <w:tc>
          <w:tcPr>
            <w:tcW w:w="636" w:type="dxa"/>
            <w:vMerge w:val="continue"/>
            <w:tcBorders>
              <w:top w:val="single" w:color="000000" w:sz="6" w:space="0"/>
              <w:left w:val="single" w:color="000000" w:sz="6" w:space="0"/>
              <w:bottom w:val="single" w:color="000000" w:sz="12" w:space="0"/>
              <w:right w:val="single" w:color="000000" w:sz="6" w:space="0"/>
              <w:tl2br w:val="nil"/>
              <w:tr2bl w:val="nil"/>
            </w:tcBorders>
            <w:noWrap w:val="0"/>
            <w:vAlign w:val="top"/>
          </w:tcPr>
          <w:p>
            <w:pPr>
              <w:pStyle w:val="18"/>
              <w:keepNext w:val="0"/>
              <w:keepLines w:val="0"/>
              <w:pageBreakBefore w:val="0"/>
              <w:widowControl/>
              <w:kinsoku w:val="0"/>
              <w:wordWrap/>
              <w:overflowPunct w:val="0"/>
              <w:topLinePunct w:val="0"/>
              <w:autoSpaceDE w:val="0"/>
              <w:autoSpaceDN w:val="0"/>
              <w:bidi w:val="0"/>
              <w:adjustRightInd w:val="0"/>
              <w:snapToGrid w:val="0"/>
              <w:spacing w:beforeLines="0" w:afterLines="0" w:line="240" w:lineRule="atLeast"/>
              <w:textAlignment w:val="baseline"/>
              <w:rPr>
                <w:rFonts w:hint="eastAsia" w:ascii="宋体" w:hAnsi="宋体" w:eastAsia="宋体" w:cs="宋体"/>
                <w:sz w:val="21"/>
                <w:szCs w:val="21"/>
                <w:lang w:val="en-US" w:eastAsia="zh-CN"/>
              </w:rPr>
            </w:pPr>
          </w:p>
        </w:tc>
        <w:tc>
          <w:tcPr>
            <w:tcW w:w="1530" w:type="dxa"/>
            <w:tcBorders>
              <w:top w:val="single" w:color="000000" w:sz="6" w:space="0"/>
              <w:left w:val="single" w:color="000000" w:sz="6" w:space="0"/>
              <w:bottom w:val="single" w:color="000000" w:sz="12"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新建桥梁设计使用年限</w:t>
            </w:r>
          </w:p>
        </w:tc>
        <w:tc>
          <w:tcPr>
            <w:tcW w:w="908" w:type="dxa"/>
            <w:tcBorders>
              <w:top w:val="single" w:color="000000" w:sz="6" w:space="0"/>
              <w:left w:val="single" w:color="000000" w:sz="6" w:space="0"/>
              <w:bottom w:val="single" w:color="000000" w:sz="12"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w:t>
            </w:r>
          </w:p>
        </w:tc>
        <w:tc>
          <w:tcPr>
            <w:tcW w:w="1539" w:type="dxa"/>
            <w:tcBorders>
              <w:top w:val="single" w:color="000000" w:sz="6" w:space="0"/>
              <w:left w:val="single" w:color="000000" w:sz="6" w:space="0"/>
              <w:bottom w:val="single" w:color="000000" w:sz="12"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default" w:ascii="宋体" w:hAnsi="宋体" w:eastAsia="宋体" w:cs="宋体"/>
                <w:sz w:val="21"/>
                <w:szCs w:val="21"/>
                <w:lang w:val="en-US" w:eastAsia="zh-CN"/>
              </w:rPr>
              <w:t>100</w:t>
            </w:r>
          </w:p>
        </w:tc>
        <w:tc>
          <w:tcPr>
            <w:tcW w:w="1804" w:type="dxa"/>
            <w:tcBorders>
              <w:top w:val="single" w:color="000000" w:sz="6" w:space="0"/>
              <w:left w:val="single" w:color="000000" w:sz="6" w:space="0"/>
              <w:bottom w:val="single" w:color="000000" w:sz="12" w:space="0"/>
              <w:right w:val="single" w:color="000000" w:sz="6"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554" w:type="dxa"/>
            <w:tcBorders>
              <w:top w:val="single" w:color="000000" w:sz="6" w:space="0"/>
              <w:left w:val="single" w:color="000000" w:sz="6" w:space="0"/>
              <w:bottom w:val="single" w:color="000000" w:sz="12" w:space="0"/>
              <w:right w:val="single" w:color="000000" w:sz="12"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无变化</w:t>
            </w:r>
          </w:p>
        </w:tc>
      </w:tr>
    </w:tbl>
    <w:p>
      <w:pPr>
        <w:pStyle w:val="18"/>
        <w:kinsoku w:val="0"/>
        <w:overflowPunct w:val="0"/>
        <w:spacing w:before="2" w:beforeLines="0" w:afterLines="0"/>
        <w:rPr>
          <w:rFonts w:hint="default" w:ascii="Times New Roman" w:hAnsi="Times New Roman" w:eastAsia="Times New Roman"/>
          <w:sz w:val="6"/>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default" w:ascii="Times New Roman" w:hAnsi="Times New Roman" w:eastAsia="Times New Roman"/>
          <w:sz w:val="7"/>
          <w:szCs w:val="24"/>
        </w:rPr>
      </w:pPr>
      <w:r>
        <w:rPr>
          <w:rFonts w:hint="eastAsia" w:ascii="黑体" w:hAnsi="黑体" w:eastAsia="黑体" w:cs="黑体"/>
          <w:b/>
          <w:bCs/>
          <w:spacing w:val="1"/>
          <w:sz w:val="23"/>
          <w:szCs w:val="23"/>
          <w:lang w:val="en-US" w:eastAsia="zh-CN"/>
        </w:rPr>
        <w:t>表3.3-3  主要工程组成表</w:t>
      </w:r>
    </w:p>
    <w:tbl>
      <w:tblPr>
        <w:tblStyle w:val="13"/>
        <w:tblW w:w="8456" w:type="dxa"/>
        <w:tblInd w:w="2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
        <w:gridCol w:w="760"/>
        <w:gridCol w:w="848"/>
        <w:gridCol w:w="2962"/>
        <w:gridCol w:w="2790"/>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557" w:hRule="atLeast"/>
        </w:trPr>
        <w:tc>
          <w:tcPr>
            <w:tcW w:w="76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工程</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类别</w:t>
            </w: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名称</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环评阶段设置情况</w:t>
            </w:r>
          </w:p>
        </w:tc>
        <w:tc>
          <w:tcPr>
            <w:tcW w:w="2790" w:type="dxa"/>
            <w:tcBorders>
              <w:top w:val="single" w:color="000000" w:sz="4" w:space="0"/>
              <w:left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实际建设情况</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(验收调查情况)</w:t>
            </w:r>
          </w:p>
        </w:tc>
        <w:tc>
          <w:tcPr>
            <w:tcW w:w="10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变化情况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1237" w:hRule="atLeast"/>
        </w:trPr>
        <w:tc>
          <w:tcPr>
            <w:tcW w:w="760" w:type="dxa"/>
            <w:vMerge w:val="restart"/>
            <w:tcBorders>
              <w:top w:val="single" w:color="000000" w:sz="4" w:space="0"/>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主体工程</w:t>
            </w: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线路工程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道路线路全长24.653</w:t>
            </w:r>
            <w:r>
              <w:rPr>
                <w:rFonts w:hint="default" w:ascii="宋体" w:hAnsi="宋体" w:eastAsia="宋体" w:cs="宋体"/>
                <w:sz w:val="21"/>
                <w:szCs w:val="21"/>
                <w:lang w:val="en-US" w:eastAsia="zh-CN"/>
              </w:rPr>
              <w:t>km</w:t>
            </w:r>
            <w:r>
              <w:rPr>
                <w:rFonts w:hint="eastAsia" w:ascii="宋体" w:hAnsi="宋体" w:eastAsia="宋体" w:cs="宋体"/>
                <w:sz w:val="21"/>
                <w:szCs w:val="21"/>
                <w:lang w:val="en-US" w:eastAsia="zh-CN"/>
              </w:rPr>
              <w:t xml:space="preserve">，主要针对贡井区、自流井区内原 </w:t>
            </w:r>
            <w:r>
              <w:rPr>
                <w:rFonts w:hint="default" w:ascii="宋体" w:hAnsi="宋体" w:eastAsia="宋体" w:cs="宋体"/>
                <w:sz w:val="21"/>
                <w:szCs w:val="21"/>
                <w:lang w:val="en-US" w:eastAsia="zh-CN"/>
              </w:rPr>
              <w:t>S305</w:t>
            </w:r>
            <w:r>
              <w:rPr>
                <w:rFonts w:hint="eastAsia" w:ascii="宋体" w:hAnsi="宋体" w:eastAsia="宋体" w:cs="宋体"/>
                <w:sz w:val="21"/>
                <w:szCs w:val="21"/>
                <w:lang w:val="en-US" w:eastAsia="zh-CN"/>
              </w:rPr>
              <w:t xml:space="preserve">省道自贡段进行改造，仅 </w:t>
            </w:r>
            <w:r>
              <w:rPr>
                <w:rFonts w:hint="default" w:ascii="宋体" w:hAnsi="宋体" w:eastAsia="宋体" w:cs="宋体"/>
                <w:sz w:val="21"/>
                <w:szCs w:val="21"/>
                <w:lang w:val="en-US" w:eastAsia="zh-CN"/>
              </w:rPr>
              <w:t>DK9+700~K11+500</w:t>
            </w:r>
            <w:r>
              <w:rPr>
                <w:rFonts w:hint="eastAsia" w:ascii="宋体" w:hAnsi="宋体" w:eastAsia="宋体" w:cs="宋体"/>
                <w:sz w:val="21"/>
                <w:szCs w:val="21"/>
                <w:lang w:val="en-US" w:eastAsia="zh-CN"/>
              </w:rPr>
              <w:t>为新建</w:t>
            </w:r>
          </w:p>
        </w:tc>
        <w:tc>
          <w:tcPr>
            <w:tcW w:w="2790" w:type="dxa"/>
            <w:tcBorders>
              <w:top w:val="single" w:color="000000" w:sz="4" w:space="0"/>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50" w:beforeLines="0" w:afterLines="0" w:line="250" w:lineRule="exact"/>
              <w:ind w:left="72" w:right="60"/>
              <w:jc w:val="center"/>
              <w:rPr>
                <w:rFonts w:hint="eastAsia"/>
                <w:sz w:val="21"/>
                <w:szCs w:val="24"/>
              </w:rPr>
            </w:pPr>
            <w:r>
              <w:rPr>
                <w:rFonts w:hint="eastAsia"/>
                <w:sz w:val="21"/>
                <w:szCs w:val="24"/>
              </w:rPr>
              <w:t>本次设计C段、D段，总长度为24.62km</w:t>
            </w:r>
            <w:r>
              <w:rPr>
                <w:rFonts w:hint="eastAsia" w:eastAsia="宋体"/>
                <w:sz w:val="21"/>
                <w:szCs w:val="24"/>
                <w:lang w:val="en-US" w:eastAsia="zh-CN"/>
              </w:rPr>
              <w:t>:</w:t>
            </w:r>
            <w:r>
              <w:rPr>
                <w:rFonts w:hint="eastAsia"/>
                <w:sz w:val="21"/>
                <w:szCs w:val="24"/>
              </w:rPr>
              <w:t>其中C段起于成佳航空园区，止于贡井区长土镇，长约8.74km</w:t>
            </w:r>
            <w:r>
              <w:rPr>
                <w:rFonts w:hint="eastAsia" w:eastAsia="宋体"/>
                <w:sz w:val="21"/>
                <w:szCs w:val="24"/>
                <w:lang w:eastAsia="zh-CN"/>
              </w:rPr>
              <w:t>；</w:t>
            </w:r>
            <w:r>
              <w:rPr>
                <w:rFonts w:hint="eastAsia"/>
                <w:sz w:val="21"/>
                <w:szCs w:val="24"/>
              </w:rPr>
              <w:t>D段起于贡井区长土镇，止于板仓线交叉口，长15.88km</w:t>
            </w:r>
          </w:p>
        </w:tc>
        <w:tc>
          <w:tcPr>
            <w:tcW w:w="1093" w:type="dxa"/>
            <w:tcBorders>
              <w:top w:val="single" w:color="000000" w:sz="4" w:space="0"/>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50" w:beforeLines="0" w:afterLines="0" w:line="250" w:lineRule="exact"/>
              <w:ind w:left="72" w:right="60"/>
              <w:jc w:val="center"/>
              <w:rPr>
                <w:rFonts w:hint="default" w:eastAsia="宋体"/>
                <w:sz w:val="21"/>
                <w:szCs w:val="24"/>
                <w:lang w:val="en-US" w:eastAsia="zh-CN"/>
              </w:rPr>
            </w:pPr>
            <w:r>
              <w:rPr>
                <w:rFonts w:hint="eastAsia" w:eastAsia="宋体"/>
                <w:sz w:val="21"/>
                <w:szCs w:val="24"/>
                <w:lang w:val="en-US" w:eastAsia="zh-CN"/>
              </w:rPr>
              <w:t>减少33m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864" w:hRule="atLeast"/>
        </w:trPr>
        <w:tc>
          <w:tcPr>
            <w:tcW w:w="760" w:type="dxa"/>
            <w:vMerge w:val="continue"/>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道路拆除工程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破除原有道路路面出现坑洞区域，破除范围为原坑洞周围</w:t>
            </w:r>
            <w:r>
              <w:rPr>
                <w:rFonts w:hint="default" w:ascii="宋体" w:hAnsi="宋体" w:eastAsia="宋体" w:cs="宋体"/>
                <w:sz w:val="21"/>
                <w:szCs w:val="21"/>
                <w:lang w:val="en-US" w:eastAsia="zh-CN"/>
              </w:rPr>
              <w:t>50cm</w:t>
            </w:r>
            <w:r>
              <w:rPr>
                <w:rFonts w:hint="eastAsia" w:ascii="宋体" w:hAnsi="宋体" w:eastAsia="宋体" w:cs="宋体"/>
                <w:sz w:val="21"/>
                <w:szCs w:val="21"/>
                <w:lang w:val="en-US" w:eastAsia="zh-CN"/>
              </w:rPr>
              <w:t>内的病害区域</w:t>
            </w:r>
          </w:p>
        </w:tc>
        <w:tc>
          <w:tcPr>
            <w:tcW w:w="2790" w:type="dxa"/>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破除原有道路路面出现坑洞区域，破除范围为原坑洞周围</w:t>
            </w:r>
            <w:r>
              <w:rPr>
                <w:rFonts w:hint="default" w:ascii="宋体" w:hAnsi="宋体" w:eastAsia="宋体" w:cs="宋体"/>
                <w:sz w:val="21"/>
                <w:szCs w:val="21"/>
                <w:lang w:val="en-US" w:eastAsia="zh-CN"/>
              </w:rPr>
              <w:t>50cm</w:t>
            </w:r>
            <w:r>
              <w:rPr>
                <w:rFonts w:hint="eastAsia" w:ascii="宋体" w:hAnsi="宋体" w:eastAsia="宋体" w:cs="宋体"/>
                <w:sz w:val="21"/>
                <w:szCs w:val="21"/>
                <w:lang w:val="en-US" w:eastAsia="zh-CN"/>
              </w:rPr>
              <w:t>内的病害区域</w:t>
            </w:r>
          </w:p>
        </w:tc>
        <w:tc>
          <w:tcPr>
            <w:tcW w:w="1093" w:type="dxa"/>
            <w:tcBorders>
              <w:top w:val="nil"/>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50" w:beforeLines="0" w:afterLines="0" w:line="250" w:lineRule="exact"/>
              <w:ind w:left="75" w:right="60"/>
              <w:jc w:val="both"/>
              <w:rPr>
                <w:rFonts w:hint="default" w:ascii="Times New Roman" w:hAnsi="Times New Roman" w:eastAsia="宋体"/>
                <w:sz w:val="21"/>
                <w:szCs w:val="24"/>
                <w:lang w:val="en-US" w:eastAsia="zh-CN"/>
              </w:rPr>
            </w:pPr>
            <w:r>
              <w:rPr>
                <w:rFonts w:hint="eastAsia" w:ascii="Times New Roman" w:hAnsi="Times New Roman" w:eastAsia="宋体"/>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2709" w:hRule="atLeast"/>
        </w:trPr>
        <w:tc>
          <w:tcPr>
            <w:tcW w:w="760" w:type="dxa"/>
            <w:vMerge w:val="continue"/>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路基工程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left"/>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郊区 </w:t>
            </w:r>
            <w:r>
              <w:rPr>
                <w:rFonts w:hint="default" w:ascii="宋体" w:hAnsi="宋体" w:eastAsia="宋体" w:cs="宋体"/>
                <w:sz w:val="21"/>
                <w:szCs w:val="21"/>
                <w:lang w:val="en-US" w:eastAsia="zh-CN"/>
              </w:rPr>
              <w:t xml:space="preserve">C </w:t>
            </w:r>
            <w:r>
              <w:rPr>
                <w:rFonts w:hint="eastAsia" w:ascii="宋体" w:hAnsi="宋体" w:eastAsia="宋体" w:cs="宋体"/>
                <w:sz w:val="21"/>
                <w:szCs w:val="21"/>
                <w:lang w:val="en-US" w:eastAsia="zh-CN"/>
              </w:rPr>
              <w:t>段：19m 景观绿化带+15m 车行道+2m 中央分离带+15m 车行道+19m 景观绿化带=</w:t>
            </w:r>
            <w:r>
              <w:rPr>
                <w:rFonts w:hint="default" w:ascii="宋体" w:hAnsi="宋体" w:eastAsia="宋体" w:cs="宋体"/>
                <w:sz w:val="21"/>
                <w:szCs w:val="21"/>
                <w:lang w:val="en-US" w:eastAsia="zh-CN"/>
              </w:rPr>
              <w:t>70m</w:t>
            </w:r>
            <w:r>
              <w:rPr>
                <w:rFonts w:hint="eastAsia" w:ascii="宋体" w:hAnsi="宋体" w:eastAsia="宋体" w:cs="宋体"/>
                <w:sz w:val="21"/>
                <w:szCs w:val="21"/>
                <w:lang w:val="en-US" w:eastAsia="zh-CN"/>
              </w:rPr>
              <w:t xml:space="preserve">；城区 </w:t>
            </w:r>
            <w:r>
              <w:rPr>
                <w:rFonts w:hint="default" w:ascii="宋体" w:hAnsi="宋体" w:eastAsia="宋体" w:cs="宋体"/>
                <w:sz w:val="21"/>
                <w:szCs w:val="21"/>
                <w:lang w:val="en-US" w:eastAsia="zh-CN"/>
              </w:rPr>
              <w:t xml:space="preserve">D </w:t>
            </w:r>
            <w:r>
              <w:rPr>
                <w:rFonts w:hint="eastAsia" w:ascii="宋体" w:hAnsi="宋体" w:eastAsia="宋体" w:cs="宋体"/>
                <w:sz w:val="21"/>
                <w:szCs w:val="21"/>
                <w:lang w:val="en-US" w:eastAsia="zh-CN"/>
              </w:rPr>
              <w:t>段：</w:t>
            </w:r>
            <w:r>
              <w:rPr>
                <w:rFonts w:hint="default" w:ascii="宋体" w:hAnsi="宋体" w:eastAsia="宋体" w:cs="宋体"/>
                <w:sz w:val="21"/>
                <w:szCs w:val="21"/>
                <w:lang w:val="en-US" w:eastAsia="zh-CN"/>
              </w:rPr>
              <w:t xml:space="preserve">6.5m </w:t>
            </w:r>
            <w:r>
              <w:rPr>
                <w:rFonts w:hint="eastAsia" w:ascii="宋体" w:hAnsi="宋体" w:eastAsia="宋体" w:cs="宋体"/>
                <w:sz w:val="21"/>
                <w:szCs w:val="21"/>
                <w:lang w:val="en-US" w:eastAsia="zh-CN"/>
              </w:rPr>
              <w:t>景观绿化带</w:t>
            </w:r>
            <w:r>
              <w:rPr>
                <w:rFonts w:hint="default" w:ascii="宋体" w:hAnsi="宋体" w:eastAsia="宋体" w:cs="宋体"/>
                <w:sz w:val="21"/>
                <w:szCs w:val="21"/>
                <w:lang w:val="en-US" w:eastAsia="zh-CN"/>
              </w:rPr>
              <w:t xml:space="preserve">+7.5m </w:t>
            </w:r>
            <w:r>
              <w:rPr>
                <w:rFonts w:hint="eastAsia" w:ascii="宋体" w:hAnsi="宋体" w:eastAsia="宋体" w:cs="宋体"/>
                <w:sz w:val="21"/>
                <w:szCs w:val="21"/>
                <w:lang w:val="en-US" w:eastAsia="zh-CN"/>
              </w:rPr>
              <w:t>辅路车行道</w:t>
            </w:r>
            <w:r>
              <w:rPr>
                <w:rFonts w:hint="default" w:ascii="宋体" w:hAnsi="宋体" w:eastAsia="宋体" w:cs="宋体"/>
                <w:sz w:val="21"/>
                <w:szCs w:val="21"/>
                <w:lang w:val="en-US" w:eastAsia="zh-CN"/>
              </w:rPr>
              <w:t xml:space="preserve">+5m </w:t>
            </w:r>
            <w:r>
              <w:rPr>
                <w:rFonts w:hint="eastAsia" w:ascii="宋体" w:hAnsi="宋体" w:eastAsia="宋体" w:cs="宋体"/>
                <w:sz w:val="21"/>
                <w:szCs w:val="21"/>
                <w:lang w:val="en-US" w:eastAsia="zh-CN"/>
              </w:rPr>
              <w:t>主辅分离带</w:t>
            </w:r>
            <w:r>
              <w:rPr>
                <w:rFonts w:hint="default" w:ascii="宋体" w:hAnsi="宋体" w:eastAsia="宋体" w:cs="宋体"/>
                <w:sz w:val="21"/>
                <w:szCs w:val="21"/>
                <w:lang w:val="en-US" w:eastAsia="zh-CN"/>
              </w:rPr>
              <w:t xml:space="preserve">+15m </w:t>
            </w:r>
            <w:r>
              <w:rPr>
                <w:rFonts w:hint="eastAsia" w:ascii="宋体" w:hAnsi="宋体" w:eastAsia="宋体" w:cs="宋体"/>
                <w:sz w:val="21"/>
                <w:szCs w:val="21"/>
                <w:lang w:val="en-US" w:eastAsia="zh-CN"/>
              </w:rPr>
              <w:t>主路车行道</w:t>
            </w:r>
            <w:r>
              <w:rPr>
                <w:rFonts w:hint="default" w:ascii="宋体" w:hAnsi="宋体" w:eastAsia="宋体" w:cs="宋体"/>
                <w:sz w:val="21"/>
                <w:szCs w:val="21"/>
                <w:lang w:val="en-US" w:eastAsia="zh-CN"/>
              </w:rPr>
              <w:t xml:space="preserve">+2m </w:t>
            </w:r>
            <w:r>
              <w:rPr>
                <w:rFonts w:hint="eastAsia" w:ascii="宋体" w:hAnsi="宋体" w:eastAsia="宋体" w:cs="宋体"/>
                <w:sz w:val="21"/>
                <w:szCs w:val="21"/>
                <w:lang w:val="en-US" w:eastAsia="zh-CN"/>
              </w:rPr>
              <w:t>中央分离带</w:t>
            </w:r>
            <w:r>
              <w:rPr>
                <w:rFonts w:hint="default" w:ascii="宋体" w:hAnsi="宋体" w:eastAsia="宋体" w:cs="宋体"/>
                <w:sz w:val="21"/>
                <w:szCs w:val="21"/>
                <w:lang w:val="en-US" w:eastAsia="zh-CN"/>
              </w:rPr>
              <w:t xml:space="preserve">+15m </w:t>
            </w:r>
            <w:r>
              <w:rPr>
                <w:rFonts w:hint="eastAsia" w:ascii="宋体" w:hAnsi="宋体" w:eastAsia="宋体" w:cs="宋体"/>
                <w:sz w:val="21"/>
                <w:szCs w:val="21"/>
                <w:lang w:val="en-US" w:eastAsia="zh-CN"/>
              </w:rPr>
              <w:t>主路车行道</w:t>
            </w:r>
            <w:r>
              <w:rPr>
                <w:rFonts w:hint="default" w:ascii="宋体" w:hAnsi="宋体" w:eastAsia="宋体" w:cs="宋体"/>
                <w:sz w:val="21"/>
                <w:szCs w:val="21"/>
                <w:lang w:val="en-US" w:eastAsia="zh-CN"/>
              </w:rPr>
              <w:t xml:space="preserve">+5m </w:t>
            </w:r>
            <w:r>
              <w:rPr>
                <w:rFonts w:hint="eastAsia" w:ascii="宋体" w:hAnsi="宋体" w:eastAsia="宋体" w:cs="宋体"/>
                <w:sz w:val="21"/>
                <w:szCs w:val="21"/>
                <w:lang w:val="en-US" w:eastAsia="zh-CN"/>
              </w:rPr>
              <w:t>主辅分离带</w:t>
            </w:r>
            <w:r>
              <w:rPr>
                <w:rFonts w:hint="default" w:ascii="宋体" w:hAnsi="宋体" w:eastAsia="宋体" w:cs="宋体"/>
                <w:sz w:val="21"/>
                <w:szCs w:val="21"/>
                <w:lang w:val="en-US" w:eastAsia="zh-CN"/>
              </w:rPr>
              <w:t xml:space="preserve">+7.5m </w:t>
            </w:r>
            <w:r>
              <w:rPr>
                <w:rFonts w:hint="eastAsia" w:ascii="宋体" w:hAnsi="宋体" w:eastAsia="宋体" w:cs="宋体"/>
                <w:sz w:val="21"/>
                <w:szCs w:val="21"/>
                <w:lang w:val="en-US" w:eastAsia="zh-CN"/>
              </w:rPr>
              <w:t>辅路车行道</w:t>
            </w:r>
            <w:r>
              <w:rPr>
                <w:rFonts w:hint="default" w:ascii="宋体" w:hAnsi="宋体" w:eastAsia="宋体" w:cs="宋体"/>
                <w:sz w:val="21"/>
                <w:szCs w:val="21"/>
                <w:lang w:val="en-US" w:eastAsia="zh-CN"/>
              </w:rPr>
              <w:t xml:space="preserve">+6.5m </w:t>
            </w:r>
            <w:r>
              <w:rPr>
                <w:rFonts w:hint="eastAsia" w:ascii="宋体" w:hAnsi="宋体" w:eastAsia="宋体" w:cs="宋体"/>
                <w:sz w:val="21"/>
                <w:szCs w:val="21"/>
                <w:lang w:val="en-US" w:eastAsia="zh-CN"/>
              </w:rPr>
              <w:t>景观绿化带</w:t>
            </w:r>
            <w:r>
              <w:rPr>
                <w:rFonts w:hint="default" w:ascii="宋体" w:hAnsi="宋体" w:eastAsia="宋体" w:cs="宋体"/>
                <w:sz w:val="21"/>
                <w:szCs w:val="21"/>
                <w:lang w:val="en-US" w:eastAsia="zh-CN"/>
              </w:rPr>
              <w:t>=70m</w:t>
            </w:r>
            <w:r>
              <w:rPr>
                <w:rFonts w:hint="eastAsia" w:ascii="宋体" w:hAnsi="宋体" w:eastAsia="宋体" w:cs="宋体"/>
                <w:sz w:val="21"/>
                <w:szCs w:val="21"/>
                <w:lang w:val="en-US" w:eastAsia="zh-CN"/>
              </w:rPr>
              <w:t>；</w:t>
            </w:r>
          </w:p>
        </w:tc>
        <w:tc>
          <w:tcPr>
            <w:tcW w:w="2790" w:type="dxa"/>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left"/>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 xml:space="preserve">郊区 </w:t>
            </w:r>
            <w:r>
              <w:rPr>
                <w:rFonts w:hint="default" w:ascii="宋体" w:hAnsi="宋体" w:eastAsia="宋体" w:cs="宋体"/>
                <w:sz w:val="21"/>
                <w:szCs w:val="21"/>
                <w:lang w:val="en-US" w:eastAsia="zh-CN"/>
              </w:rPr>
              <w:t xml:space="preserve">C </w:t>
            </w:r>
            <w:r>
              <w:rPr>
                <w:rFonts w:hint="eastAsia" w:ascii="宋体" w:hAnsi="宋体" w:eastAsia="宋体" w:cs="宋体"/>
                <w:sz w:val="21"/>
                <w:szCs w:val="21"/>
                <w:lang w:val="en-US" w:eastAsia="zh-CN"/>
              </w:rPr>
              <w:t>段：19m 景观绿化带+15m 车行道+2m 中央分离带+15m 车行道+19m 景观绿化带=</w:t>
            </w:r>
            <w:r>
              <w:rPr>
                <w:rFonts w:hint="default" w:ascii="宋体" w:hAnsi="宋体" w:eastAsia="宋体" w:cs="宋体"/>
                <w:sz w:val="21"/>
                <w:szCs w:val="21"/>
                <w:lang w:val="en-US" w:eastAsia="zh-CN"/>
              </w:rPr>
              <w:t>70m</w:t>
            </w:r>
            <w:r>
              <w:rPr>
                <w:rFonts w:hint="eastAsia" w:ascii="宋体" w:hAnsi="宋体" w:eastAsia="宋体" w:cs="宋体"/>
                <w:sz w:val="21"/>
                <w:szCs w:val="21"/>
                <w:lang w:val="en-US" w:eastAsia="zh-CN"/>
              </w:rPr>
              <w:t xml:space="preserve">；城区 </w:t>
            </w:r>
            <w:r>
              <w:rPr>
                <w:rFonts w:hint="default" w:ascii="宋体" w:hAnsi="宋体" w:eastAsia="宋体" w:cs="宋体"/>
                <w:sz w:val="21"/>
                <w:szCs w:val="21"/>
                <w:lang w:val="en-US" w:eastAsia="zh-CN"/>
              </w:rPr>
              <w:t xml:space="preserve">D </w:t>
            </w:r>
            <w:r>
              <w:rPr>
                <w:rFonts w:hint="eastAsia" w:ascii="宋体" w:hAnsi="宋体" w:eastAsia="宋体" w:cs="宋体"/>
                <w:sz w:val="21"/>
                <w:szCs w:val="21"/>
                <w:lang w:val="en-US" w:eastAsia="zh-CN"/>
              </w:rPr>
              <w:t>段：</w:t>
            </w:r>
            <w:r>
              <w:rPr>
                <w:rFonts w:hint="default" w:ascii="宋体" w:hAnsi="宋体" w:eastAsia="宋体" w:cs="宋体"/>
                <w:sz w:val="21"/>
                <w:szCs w:val="21"/>
                <w:lang w:val="en-US" w:eastAsia="zh-CN"/>
              </w:rPr>
              <w:t xml:space="preserve">6.5m </w:t>
            </w:r>
            <w:r>
              <w:rPr>
                <w:rFonts w:hint="eastAsia" w:ascii="宋体" w:hAnsi="宋体" w:eastAsia="宋体" w:cs="宋体"/>
                <w:sz w:val="21"/>
                <w:szCs w:val="21"/>
                <w:lang w:val="en-US" w:eastAsia="zh-CN"/>
              </w:rPr>
              <w:t>景观绿化带</w:t>
            </w:r>
            <w:r>
              <w:rPr>
                <w:rFonts w:hint="default" w:ascii="宋体" w:hAnsi="宋体" w:eastAsia="宋体" w:cs="宋体"/>
                <w:sz w:val="21"/>
                <w:szCs w:val="21"/>
                <w:lang w:val="en-US" w:eastAsia="zh-CN"/>
              </w:rPr>
              <w:t xml:space="preserve">+7.5m </w:t>
            </w:r>
            <w:r>
              <w:rPr>
                <w:rFonts w:hint="eastAsia" w:ascii="宋体" w:hAnsi="宋体" w:eastAsia="宋体" w:cs="宋体"/>
                <w:sz w:val="21"/>
                <w:szCs w:val="21"/>
                <w:lang w:val="en-US" w:eastAsia="zh-CN"/>
              </w:rPr>
              <w:t>辅路车行道</w:t>
            </w:r>
            <w:r>
              <w:rPr>
                <w:rFonts w:hint="default" w:ascii="宋体" w:hAnsi="宋体" w:eastAsia="宋体" w:cs="宋体"/>
                <w:sz w:val="21"/>
                <w:szCs w:val="21"/>
                <w:lang w:val="en-US" w:eastAsia="zh-CN"/>
              </w:rPr>
              <w:t xml:space="preserve">+5m </w:t>
            </w:r>
            <w:r>
              <w:rPr>
                <w:rFonts w:hint="eastAsia" w:ascii="宋体" w:hAnsi="宋体" w:eastAsia="宋体" w:cs="宋体"/>
                <w:sz w:val="21"/>
                <w:szCs w:val="21"/>
                <w:lang w:val="en-US" w:eastAsia="zh-CN"/>
              </w:rPr>
              <w:t>主辅分离带</w:t>
            </w:r>
            <w:r>
              <w:rPr>
                <w:rFonts w:hint="default" w:ascii="宋体" w:hAnsi="宋体" w:eastAsia="宋体" w:cs="宋体"/>
                <w:sz w:val="21"/>
                <w:szCs w:val="21"/>
                <w:lang w:val="en-US" w:eastAsia="zh-CN"/>
              </w:rPr>
              <w:t xml:space="preserve">+15m </w:t>
            </w:r>
            <w:r>
              <w:rPr>
                <w:rFonts w:hint="eastAsia" w:ascii="宋体" w:hAnsi="宋体" w:eastAsia="宋体" w:cs="宋体"/>
                <w:sz w:val="21"/>
                <w:szCs w:val="21"/>
                <w:lang w:val="en-US" w:eastAsia="zh-CN"/>
              </w:rPr>
              <w:t>主路车行道</w:t>
            </w:r>
            <w:r>
              <w:rPr>
                <w:rFonts w:hint="default" w:ascii="宋体" w:hAnsi="宋体" w:eastAsia="宋体" w:cs="宋体"/>
                <w:sz w:val="21"/>
                <w:szCs w:val="21"/>
                <w:lang w:val="en-US" w:eastAsia="zh-CN"/>
              </w:rPr>
              <w:t xml:space="preserve">+2m </w:t>
            </w:r>
            <w:r>
              <w:rPr>
                <w:rFonts w:hint="eastAsia" w:ascii="宋体" w:hAnsi="宋体" w:eastAsia="宋体" w:cs="宋体"/>
                <w:sz w:val="21"/>
                <w:szCs w:val="21"/>
                <w:lang w:val="en-US" w:eastAsia="zh-CN"/>
              </w:rPr>
              <w:t>中央分离带</w:t>
            </w:r>
            <w:r>
              <w:rPr>
                <w:rFonts w:hint="default" w:ascii="宋体" w:hAnsi="宋体" w:eastAsia="宋体" w:cs="宋体"/>
                <w:sz w:val="21"/>
                <w:szCs w:val="21"/>
                <w:lang w:val="en-US" w:eastAsia="zh-CN"/>
              </w:rPr>
              <w:t xml:space="preserve">+15m </w:t>
            </w:r>
            <w:r>
              <w:rPr>
                <w:rFonts w:hint="eastAsia" w:ascii="宋体" w:hAnsi="宋体" w:eastAsia="宋体" w:cs="宋体"/>
                <w:sz w:val="21"/>
                <w:szCs w:val="21"/>
                <w:lang w:val="en-US" w:eastAsia="zh-CN"/>
              </w:rPr>
              <w:t>主路车行道</w:t>
            </w:r>
            <w:r>
              <w:rPr>
                <w:rFonts w:hint="default" w:ascii="宋体" w:hAnsi="宋体" w:eastAsia="宋体" w:cs="宋体"/>
                <w:sz w:val="21"/>
                <w:szCs w:val="21"/>
                <w:lang w:val="en-US" w:eastAsia="zh-CN"/>
              </w:rPr>
              <w:t xml:space="preserve">+5m </w:t>
            </w:r>
            <w:r>
              <w:rPr>
                <w:rFonts w:hint="eastAsia" w:ascii="宋体" w:hAnsi="宋体" w:eastAsia="宋体" w:cs="宋体"/>
                <w:sz w:val="21"/>
                <w:szCs w:val="21"/>
                <w:lang w:val="en-US" w:eastAsia="zh-CN"/>
              </w:rPr>
              <w:t>主辅分离带</w:t>
            </w:r>
            <w:r>
              <w:rPr>
                <w:rFonts w:hint="default" w:ascii="宋体" w:hAnsi="宋体" w:eastAsia="宋体" w:cs="宋体"/>
                <w:sz w:val="21"/>
                <w:szCs w:val="21"/>
                <w:lang w:val="en-US" w:eastAsia="zh-CN"/>
              </w:rPr>
              <w:t xml:space="preserve">+7.5m </w:t>
            </w:r>
            <w:r>
              <w:rPr>
                <w:rFonts w:hint="eastAsia" w:ascii="宋体" w:hAnsi="宋体" w:eastAsia="宋体" w:cs="宋体"/>
                <w:sz w:val="21"/>
                <w:szCs w:val="21"/>
                <w:lang w:val="en-US" w:eastAsia="zh-CN"/>
              </w:rPr>
              <w:t>辅路车行道</w:t>
            </w:r>
            <w:r>
              <w:rPr>
                <w:rFonts w:hint="default" w:ascii="宋体" w:hAnsi="宋体" w:eastAsia="宋体" w:cs="宋体"/>
                <w:sz w:val="21"/>
                <w:szCs w:val="21"/>
                <w:lang w:val="en-US" w:eastAsia="zh-CN"/>
              </w:rPr>
              <w:t xml:space="preserve">+6.5m </w:t>
            </w:r>
            <w:r>
              <w:rPr>
                <w:rFonts w:hint="eastAsia" w:ascii="宋体" w:hAnsi="宋体" w:eastAsia="宋体" w:cs="宋体"/>
                <w:sz w:val="21"/>
                <w:szCs w:val="21"/>
                <w:lang w:val="en-US" w:eastAsia="zh-CN"/>
              </w:rPr>
              <w:t>景观绿化带</w:t>
            </w:r>
            <w:r>
              <w:rPr>
                <w:rFonts w:hint="default" w:ascii="宋体" w:hAnsi="宋体" w:eastAsia="宋体" w:cs="宋体"/>
                <w:sz w:val="21"/>
                <w:szCs w:val="21"/>
                <w:lang w:val="en-US" w:eastAsia="zh-CN"/>
              </w:rPr>
              <w:t>=70m</w:t>
            </w:r>
            <w:r>
              <w:rPr>
                <w:rFonts w:hint="eastAsia" w:ascii="宋体" w:hAnsi="宋体" w:eastAsia="宋体" w:cs="宋体"/>
                <w:sz w:val="21"/>
                <w:szCs w:val="21"/>
                <w:lang w:val="en-US" w:eastAsia="zh-CN"/>
              </w:rPr>
              <w:t>；</w:t>
            </w:r>
          </w:p>
        </w:tc>
        <w:tc>
          <w:tcPr>
            <w:tcW w:w="1093" w:type="dxa"/>
            <w:tcBorders>
              <w:top w:val="nil"/>
              <w:left w:val="single" w:color="000000" w:sz="4" w:space="0"/>
              <w:bottom w:val="single" w:color="000000" w:sz="8" w:space="0"/>
              <w:right w:val="single" w:color="000000" w:sz="4" w:space="0"/>
              <w:tl2br w:val="nil"/>
              <w:tr2bl w:val="nil"/>
            </w:tcBorders>
            <w:noWrap w:val="0"/>
            <w:vAlign w:val="top"/>
          </w:tcPr>
          <w:p>
            <w:pPr>
              <w:kinsoku w:val="0"/>
              <w:overflowPunct w:val="0"/>
              <w:spacing w:before="2" w:beforeLines="0" w:afterLines="0" w:line="320" w:lineRule="atLeast"/>
              <w:ind w:right="41"/>
              <w:rPr>
                <w:rFonts w:hint="eastAsia"/>
                <w:sz w:val="21"/>
                <w:szCs w:val="24"/>
              </w:rPr>
            </w:pPr>
            <w:r>
              <w:rPr>
                <w:rFonts w:hint="eastAsia" w:ascii="Times New Roman" w:hAnsi="Times New Roman" w:eastAsia="宋体"/>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2222" w:hRule="atLeast"/>
        </w:trPr>
        <w:tc>
          <w:tcPr>
            <w:tcW w:w="760" w:type="dxa"/>
            <w:vMerge w:val="continue"/>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路面工程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路面修复加铺工程。路面由上到下为 4 cm 改线沥青玛蹄脂碎石 SMA-13+6cm 中粒式改性沥青混凝土 AC-16C+6cm 中粒式改性沥青混凝土AC-20C+1cm 应力吸收层+18cm 水泥稳定碎石+铣 10cm 现状沥青面层并处治合格后的原水稳基层。</w:t>
            </w:r>
          </w:p>
        </w:tc>
        <w:tc>
          <w:tcPr>
            <w:tcW w:w="2790" w:type="dxa"/>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路面修复加铺工程。路面由上到下为 4 cm 改线沥青玛蹄脂碎石 SMA-13+6cm 中粒式改性沥青混凝土 AC-16C+6cm 中粒式改性沥青混凝土AC-20C+1cm 应力吸收层+18cm 水泥稳定碎石+铣 10cm 现状沥青面层并处治合格后的原水稳基层。</w:t>
            </w:r>
          </w:p>
        </w:tc>
        <w:tc>
          <w:tcPr>
            <w:tcW w:w="1093" w:type="dxa"/>
            <w:tcBorders>
              <w:top w:val="nil"/>
              <w:left w:val="single" w:color="000000" w:sz="4" w:space="0"/>
              <w:bottom w:val="single" w:color="000000" w:sz="8" w:space="0"/>
              <w:right w:val="single" w:color="000000" w:sz="4" w:space="0"/>
              <w:tl2br w:val="nil"/>
              <w:tr2bl w:val="nil"/>
            </w:tcBorders>
            <w:noWrap w:val="0"/>
            <w:vAlign w:val="top"/>
          </w:tcPr>
          <w:p>
            <w:pPr>
              <w:kinsoku w:val="0"/>
              <w:overflowPunct w:val="0"/>
              <w:spacing w:beforeLines="0" w:afterLines="0" w:line="247" w:lineRule="exact"/>
              <w:rPr>
                <w:rFonts w:hint="eastAsia"/>
                <w:sz w:val="21"/>
                <w:szCs w:val="24"/>
              </w:rPr>
            </w:pPr>
            <w:r>
              <w:rPr>
                <w:rFonts w:hint="eastAsia" w:ascii="Times New Roman" w:hAnsi="Times New Roman" w:eastAsia="宋体"/>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3272" w:hRule="atLeast"/>
        </w:trPr>
        <w:tc>
          <w:tcPr>
            <w:tcW w:w="760" w:type="dxa"/>
            <w:vMerge w:val="continue"/>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vMerge w:val="continue"/>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新建路段路面层自上而下： </w:t>
            </w:r>
            <w:r>
              <w:rPr>
                <w:rFonts w:hint="default" w:ascii="宋体" w:hAnsi="宋体" w:eastAsia="宋体" w:cs="宋体"/>
                <w:sz w:val="21"/>
                <w:szCs w:val="21"/>
                <w:lang w:val="en-US" w:eastAsia="zh-CN"/>
              </w:rPr>
              <w:t xml:space="preserve">4cm </w:t>
            </w:r>
            <w:r>
              <w:rPr>
                <w:rFonts w:hint="eastAsia" w:ascii="宋体" w:hAnsi="宋体" w:eastAsia="宋体" w:cs="宋体"/>
                <w:sz w:val="21"/>
                <w:szCs w:val="21"/>
                <w:lang w:val="en-US" w:eastAsia="zh-CN"/>
              </w:rPr>
              <w:t>沥青砼上面层（</w:t>
            </w:r>
            <w:r>
              <w:rPr>
                <w:rFonts w:hint="default" w:ascii="宋体" w:hAnsi="宋体" w:eastAsia="宋体" w:cs="宋体"/>
                <w:sz w:val="21"/>
                <w:szCs w:val="21"/>
                <w:lang w:val="en-US" w:eastAsia="zh-CN"/>
              </w:rPr>
              <w:t>SMA-13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6cm</w:t>
            </w:r>
            <w:r>
              <w:rPr>
                <w:rFonts w:hint="eastAsia" w:ascii="宋体" w:hAnsi="宋体" w:eastAsia="宋体" w:cs="宋体"/>
                <w:sz w:val="21"/>
                <w:szCs w:val="21"/>
                <w:lang w:val="en-US" w:eastAsia="zh-CN"/>
              </w:rPr>
              <w:t>沥青砼中面层（</w:t>
            </w:r>
            <w:r>
              <w:rPr>
                <w:rFonts w:hint="default" w:ascii="宋体" w:hAnsi="宋体" w:eastAsia="宋体" w:cs="宋体"/>
                <w:sz w:val="21"/>
                <w:szCs w:val="21"/>
                <w:lang w:val="en-US" w:eastAsia="zh-CN"/>
              </w:rPr>
              <w:t>AC-16C</w:t>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t xml:space="preserve">6cm </w:t>
            </w:r>
            <w:r>
              <w:rPr>
                <w:rFonts w:hint="eastAsia" w:ascii="宋体" w:hAnsi="宋体" w:eastAsia="宋体" w:cs="宋体"/>
                <w:sz w:val="21"/>
                <w:szCs w:val="21"/>
                <w:lang w:val="en-US" w:eastAsia="zh-CN"/>
              </w:rPr>
              <w:t>沥青砼下面层（</w:t>
            </w:r>
            <w:r>
              <w:rPr>
                <w:rFonts w:hint="default" w:ascii="宋体" w:hAnsi="宋体" w:eastAsia="宋体" w:cs="宋体"/>
                <w:sz w:val="21"/>
                <w:szCs w:val="21"/>
                <w:lang w:val="en-US" w:eastAsia="zh-CN"/>
              </w:rPr>
              <w:t>AC-20C</w:t>
            </w:r>
            <w:r>
              <w:rPr>
                <w:rFonts w:hint="eastAsia" w:ascii="宋体" w:hAnsi="宋体" w:eastAsia="宋体" w:cs="宋体"/>
                <w:sz w:val="21"/>
                <w:szCs w:val="21"/>
                <w:lang w:val="en-US" w:eastAsia="zh-CN"/>
              </w:rPr>
              <w:t>基层自上而下：</w:t>
            </w:r>
            <w:r>
              <w:rPr>
                <w:rFonts w:hint="default" w:ascii="宋体" w:hAnsi="宋体" w:eastAsia="宋体" w:cs="宋体"/>
                <w:sz w:val="21"/>
                <w:szCs w:val="21"/>
                <w:lang w:val="en-US" w:eastAsia="zh-CN"/>
              </w:rPr>
              <w:t xml:space="preserve">20cm </w:t>
            </w:r>
            <w:r>
              <w:rPr>
                <w:rFonts w:hint="eastAsia" w:ascii="宋体" w:hAnsi="宋体" w:eastAsia="宋体" w:cs="宋体"/>
                <w:sz w:val="21"/>
                <w:szCs w:val="21"/>
                <w:lang w:val="en-US" w:eastAsia="zh-CN"/>
              </w:rPr>
              <w:t xml:space="preserve">基层 </w:t>
            </w:r>
            <w:r>
              <w:rPr>
                <w:rFonts w:hint="default" w:ascii="宋体" w:hAnsi="宋体" w:eastAsia="宋体" w:cs="宋体"/>
                <w:sz w:val="21"/>
                <w:szCs w:val="21"/>
                <w:lang w:val="en-US" w:eastAsia="zh-CN"/>
              </w:rPr>
              <w:t>4.5~5.5%</w:t>
            </w:r>
            <w:r>
              <w:rPr>
                <w:rFonts w:hint="eastAsia" w:ascii="宋体" w:hAnsi="宋体" w:eastAsia="宋体" w:cs="宋体"/>
                <w:sz w:val="21"/>
                <w:szCs w:val="21"/>
                <w:lang w:val="en-US" w:eastAsia="zh-CN"/>
              </w:rPr>
              <w:t>水泥稳定碎石基层；</w:t>
            </w:r>
            <w:r>
              <w:rPr>
                <w:rFonts w:hint="default" w:ascii="宋体" w:hAnsi="宋体" w:eastAsia="宋体" w:cs="宋体"/>
                <w:sz w:val="21"/>
                <w:szCs w:val="21"/>
                <w:lang w:val="en-US" w:eastAsia="zh-CN"/>
              </w:rPr>
              <w:t xml:space="preserve">20cm </w:t>
            </w:r>
            <w:r>
              <w:rPr>
                <w:rFonts w:hint="eastAsia" w:ascii="宋体" w:hAnsi="宋体" w:eastAsia="宋体" w:cs="宋体"/>
                <w:sz w:val="21"/>
                <w:szCs w:val="21"/>
                <w:lang w:val="en-US" w:eastAsia="zh-CN"/>
              </w:rPr>
              <w:t xml:space="preserve">上底基层 </w:t>
            </w:r>
            <w:r>
              <w:rPr>
                <w:rFonts w:hint="default" w:ascii="宋体" w:hAnsi="宋体" w:eastAsia="宋体" w:cs="宋体"/>
                <w:sz w:val="21"/>
                <w:szCs w:val="21"/>
                <w:lang w:val="en-US" w:eastAsia="zh-CN"/>
              </w:rPr>
              <w:t>3.5~4.5%</w:t>
            </w:r>
            <w:r>
              <w:rPr>
                <w:rFonts w:hint="eastAsia" w:ascii="宋体" w:hAnsi="宋体" w:eastAsia="宋体" w:cs="宋体"/>
                <w:sz w:val="21"/>
                <w:szCs w:val="21"/>
                <w:lang w:val="en-US" w:eastAsia="zh-CN"/>
              </w:rPr>
              <w:t>水泥稳定碎石上底基层；</w:t>
            </w:r>
            <w:r>
              <w:rPr>
                <w:rFonts w:hint="default" w:ascii="宋体" w:hAnsi="宋体" w:eastAsia="宋体" w:cs="宋体"/>
                <w:sz w:val="21"/>
                <w:szCs w:val="21"/>
                <w:lang w:val="en-US" w:eastAsia="zh-CN"/>
              </w:rPr>
              <w:t xml:space="preserve">15cm </w:t>
            </w:r>
            <w:r>
              <w:rPr>
                <w:rFonts w:hint="eastAsia" w:ascii="宋体" w:hAnsi="宋体" w:eastAsia="宋体" w:cs="宋体"/>
                <w:sz w:val="21"/>
                <w:szCs w:val="21"/>
                <w:lang w:val="en-US" w:eastAsia="zh-CN"/>
              </w:rPr>
              <w:t>下底基层</w:t>
            </w:r>
            <w:r>
              <w:rPr>
                <w:rFonts w:hint="default" w:ascii="宋体" w:hAnsi="宋体" w:eastAsia="宋体" w:cs="宋体"/>
                <w:sz w:val="21"/>
                <w:szCs w:val="21"/>
                <w:lang w:val="en-US" w:eastAsia="zh-CN"/>
              </w:rPr>
              <w:t>3.5~4.5%</w:t>
            </w:r>
            <w:r>
              <w:rPr>
                <w:rFonts w:hint="eastAsia" w:ascii="宋体" w:hAnsi="宋体" w:eastAsia="宋体" w:cs="宋体"/>
                <w:sz w:val="21"/>
                <w:szCs w:val="21"/>
                <w:lang w:val="en-US" w:eastAsia="zh-CN"/>
              </w:rPr>
              <w:t>水泥稳定碎石上底基层。土基：原（填）土夯实，保证规范要求的含水量和压实度。</w:t>
            </w:r>
          </w:p>
        </w:tc>
        <w:tc>
          <w:tcPr>
            <w:tcW w:w="2790" w:type="dxa"/>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 xml:space="preserve">新建路段路面层自上而下： </w:t>
            </w:r>
            <w:r>
              <w:rPr>
                <w:rFonts w:hint="default" w:ascii="宋体" w:hAnsi="宋体" w:eastAsia="宋体" w:cs="宋体"/>
                <w:sz w:val="21"/>
                <w:szCs w:val="21"/>
                <w:lang w:val="en-US" w:eastAsia="zh-CN"/>
              </w:rPr>
              <w:t xml:space="preserve">4cm </w:t>
            </w:r>
            <w:r>
              <w:rPr>
                <w:rFonts w:hint="eastAsia" w:ascii="宋体" w:hAnsi="宋体" w:eastAsia="宋体" w:cs="宋体"/>
                <w:sz w:val="21"/>
                <w:szCs w:val="21"/>
                <w:lang w:val="en-US" w:eastAsia="zh-CN"/>
              </w:rPr>
              <w:t>沥青砼上面层（</w:t>
            </w:r>
            <w:r>
              <w:rPr>
                <w:rFonts w:hint="default" w:ascii="宋体" w:hAnsi="宋体" w:eastAsia="宋体" w:cs="宋体"/>
                <w:sz w:val="21"/>
                <w:szCs w:val="21"/>
                <w:lang w:val="en-US" w:eastAsia="zh-CN"/>
              </w:rPr>
              <w:t>SMA-13</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6cm</w:t>
            </w:r>
            <w:r>
              <w:rPr>
                <w:rFonts w:hint="eastAsia" w:ascii="宋体" w:hAnsi="宋体" w:eastAsia="宋体" w:cs="宋体"/>
                <w:sz w:val="21"/>
                <w:szCs w:val="21"/>
                <w:lang w:val="en-US" w:eastAsia="zh-CN"/>
              </w:rPr>
              <w:t>沥青砼中面层（</w:t>
            </w:r>
            <w:r>
              <w:rPr>
                <w:rFonts w:hint="default" w:ascii="宋体" w:hAnsi="宋体" w:eastAsia="宋体" w:cs="宋体"/>
                <w:sz w:val="21"/>
                <w:szCs w:val="21"/>
                <w:lang w:val="en-US" w:eastAsia="zh-CN"/>
              </w:rPr>
              <w:t>AC-16C</w:t>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t xml:space="preserve">6cm </w:t>
            </w:r>
            <w:r>
              <w:rPr>
                <w:rFonts w:hint="eastAsia" w:ascii="宋体" w:hAnsi="宋体" w:eastAsia="宋体" w:cs="宋体"/>
                <w:sz w:val="21"/>
                <w:szCs w:val="21"/>
                <w:lang w:val="en-US" w:eastAsia="zh-CN"/>
              </w:rPr>
              <w:t>沥青砼下面层（</w:t>
            </w:r>
            <w:r>
              <w:rPr>
                <w:rFonts w:hint="default" w:ascii="宋体" w:hAnsi="宋体" w:eastAsia="宋体" w:cs="宋体"/>
                <w:sz w:val="21"/>
                <w:szCs w:val="21"/>
                <w:lang w:val="en-US" w:eastAsia="zh-CN"/>
              </w:rPr>
              <w:t>AC-20C</w:t>
            </w:r>
            <w:r>
              <w:rPr>
                <w:rFonts w:hint="eastAsia" w:ascii="宋体" w:hAnsi="宋体" w:eastAsia="宋体" w:cs="宋体"/>
                <w:sz w:val="21"/>
                <w:szCs w:val="21"/>
                <w:lang w:val="en-US" w:eastAsia="zh-CN"/>
              </w:rPr>
              <w:t>基层自上而下：</w:t>
            </w:r>
            <w:r>
              <w:rPr>
                <w:rFonts w:hint="default" w:ascii="宋体" w:hAnsi="宋体" w:eastAsia="宋体" w:cs="宋体"/>
                <w:sz w:val="21"/>
                <w:szCs w:val="21"/>
                <w:lang w:val="en-US" w:eastAsia="zh-CN"/>
              </w:rPr>
              <w:t xml:space="preserve">20cm </w:t>
            </w:r>
            <w:r>
              <w:rPr>
                <w:rFonts w:hint="eastAsia" w:ascii="宋体" w:hAnsi="宋体" w:eastAsia="宋体" w:cs="宋体"/>
                <w:sz w:val="21"/>
                <w:szCs w:val="21"/>
                <w:lang w:val="en-US" w:eastAsia="zh-CN"/>
              </w:rPr>
              <w:t xml:space="preserve">基层 </w:t>
            </w:r>
            <w:r>
              <w:rPr>
                <w:rFonts w:hint="default" w:ascii="宋体" w:hAnsi="宋体" w:eastAsia="宋体" w:cs="宋体"/>
                <w:sz w:val="21"/>
                <w:szCs w:val="21"/>
                <w:lang w:val="en-US" w:eastAsia="zh-CN"/>
              </w:rPr>
              <w:t>4.5~5.5%</w:t>
            </w:r>
            <w:r>
              <w:rPr>
                <w:rFonts w:hint="eastAsia" w:ascii="宋体" w:hAnsi="宋体" w:eastAsia="宋体" w:cs="宋体"/>
                <w:sz w:val="21"/>
                <w:szCs w:val="21"/>
                <w:lang w:val="en-US" w:eastAsia="zh-CN"/>
              </w:rPr>
              <w:t>水泥稳定碎石基层；</w:t>
            </w:r>
            <w:r>
              <w:rPr>
                <w:rFonts w:hint="default" w:ascii="宋体" w:hAnsi="宋体" w:eastAsia="宋体" w:cs="宋体"/>
                <w:sz w:val="21"/>
                <w:szCs w:val="21"/>
                <w:lang w:val="en-US" w:eastAsia="zh-CN"/>
              </w:rPr>
              <w:t xml:space="preserve">20cm </w:t>
            </w:r>
            <w:r>
              <w:rPr>
                <w:rFonts w:hint="eastAsia" w:ascii="宋体" w:hAnsi="宋体" w:eastAsia="宋体" w:cs="宋体"/>
                <w:sz w:val="21"/>
                <w:szCs w:val="21"/>
                <w:lang w:val="en-US" w:eastAsia="zh-CN"/>
              </w:rPr>
              <w:t xml:space="preserve">上底基层 </w:t>
            </w:r>
            <w:r>
              <w:rPr>
                <w:rFonts w:hint="default" w:ascii="宋体" w:hAnsi="宋体" w:eastAsia="宋体" w:cs="宋体"/>
                <w:sz w:val="21"/>
                <w:szCs w:val="21"/>
                <w:lang w:val="en-US" w:eastAsia="zh-CN"/>
              </w:rPr>
              <w:t>3.5~4.5%</w:t>
            </w:r>
            <w:r>
              <w:rPr>
                <w:rFonts w:hint="eastAsia" w:ascii="宋体" w:hAnsi="宋体" w:eastAsia="宋体" w:cs="宋体"/>
                <w:sz w:val="21"/>
                <w:szCs w:val="21"/>
                <w:lang w:val="en-US" w:eastAsia="zh-CN"/>
              </w:rPr>
              <w:t>水泥稳定碎石上底基层；</w:t>
            </w:r>
            <w:r>
              <w:rPr>
                <w:rFonts w:hint="default" w:ascii="宋体" w:hAnsi="宋体" w:eastAsia="宋体" w:cs="宋体"/>
                <w:sz w:val="21"/>
                <w:szCs w:val="21"/>
                <w:lang w:val="en-US" w:eastAsia="zh-CN"/>
              </w:rPr>
              <w:t xml:space="preserve">15cm </w:t>
            </w:r>
            <w:r>
              <w:rPr>
                <w:rFonts w:hint="eastAsia" w:ascii="宋体" w:hAnsi="宋体" w:eastAsia="宋体" w:cs="宋体"/>
                <w:sz w:val="21"/>
                <w:szCs w:val="21"/>
                <w:lang w:val="en-US" w:eastAsia="zh-CN"/>
              </w:rPr>
              <w:t>下底基层</w:t>
            </w:r>
            <w:r>
              <w:rPr>
                <w:rFonts w:hint="default" w:ascii="宋体" w:hAnsi="宋体" w:eastAsia="宋体" w:cs="宋体"/>
                <w:sz w:val="21"/>
                <w:szCs w:val="21"/>
                <w:lang w:val="en-US" w:eastAsia="zh-CN"/>
              </w:rPr>
              <w:t>3.5~4.5%</w:t>
            </w:r>
            <w:r>
              <w:rPr>
                <w:rFonts w:hint="eastAsia" w:ascii="宋体" w:hAnsi="宋体" w:eastAsia="宋体" w:cs="宋体"/>
                <w:sz w:val="21"/>
                <w:szCs w:val="21"/>
                <w:lang w:val="en-US" w:eastAsia="zh-CN"/>
              </w:rPr>
              <w:t>水泥稳定碎石上底基层。土基：原（填）土夯实，保证规范要求的含水量和压实度。</w:t>
            </w:r>
          </w:p>
        </w:tc>
        <w:tc>
          <w:tcPr>
            <w:tcW w:w="1093" w:type="dxa"/>
            <w:tcBorders>
              <w:top w:val="nil"/>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53" w:beforeLines="0" w:afterLines="0" w:line="247" w:lineRule="exact"/>
              <w:rPr>
                <w:rFonts w:hint="eastAsia"/>
                <w:sz w:val="21"/>
                <w:szCs w:val="24"/>
              </w:rPr>
            </w:pPr>
            <w:r>
              <w:rPr>
                <w:rFonts w:hint="eastAsia" w:ascii="Times New Roman" w:hAnsi="Times New Roman" w:eastAsia="宋体"/>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623" w:hRule="atLeast"/>
        </w:trPr>
        <w:tc>
          <w:tcPr>
            <w:tcW w:w="760" w:type="dxa"/>
            <w:vMerge w:val="continue"/>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桥梁</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共新建</w:t>
            </w:r>
            <w:r>
              <w:rPr>
                <w:rFonts w:hint="default" w:ascii="宋体" w:hAnsi="宋体" w:eastAsia="宋体" w:cs="宋体"/>
                <w:sz w:val="21"/>
                <w:szCs w:val="21"/>
                <w:lang w:val="en-US" w:eastAsia="zh-CN"/>
              </w:rPr>
              <w:t>9</w:t>
            </w:r>
            <w:r>
              <w:rPr>
                <w:rFonts w:hint="eastAsia" w:ascii="宋体" w:hAnsi="宋体" w:eastAsia="宋体" w:cs="宋体"/>
                <w:sz w:val="21"/>
                <w:szCs w:val="21"/>
                <w:lang w:val="en-US" w:eastAsia="zh-CN"/>
              </w:rPr>
              <w:t>座立交桥；对</w:t>
            </w:r>
            <w:r>
              <w:rPr>
                <w:rFonts w:hint="default" w:ascii="宋体" w:hAnsi="宋体" w:eastAsia="宋体" w:cs="宋体"/>
                <w:sz w:val="21"/>
                <w:szCs w:val="21"/>
                <w:lang w:val="en-US" w:eastAsia="zh-CN"/>
              </w:rPr>
              <w:t>4</w:t>
            </w:r>
            <w:r>
              <w:rPr>
                <w:rFonts w:hint="eastAsia" w:ascii="宋体" w:hAnsi="宋体" w:eastAsia="宋体" w:cs="宋体"/>
                <w:sz w:val="21"/>
                <w:szCs w:val="21"/>
                <w:lang w:val="en-US" w:eastAsia="zh-CN"/>
              </w:rPr>
              <w:t>座已有桥梁进行加宽加固施工。</w:t>
            </w:r>
          </w:p>
        </w:tc>
        <w:tc>
          <w:tcPr>
            <w:tcW w:w="2790" w:type="dxa"/>
            <w:tcBorders>
              <w:top w:val="nil"/>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41" w:beforeLines="0" w:afterLines="0"/>
              <w:rPr>
                <w:rFonts w:hint="eastAsia"/>
                <w:sz w:val="21"/>
                <w:szCs w:val="24"/>
              </w:rPr>
            </w:pPr>
            <w:r>
              <w:rPr>
                <w:rFonts w:hint="eastAsia" w:ascii="宋体" w:hAnsi="宋体" w:eastAsia="宋体" w:cs="宋体"/>
                <w:sz w:val="21"/>
                <w:szCs w:val="21"/>
                <w:lang w:val="en-US" w:eastAsia="zh-CN"/>
              </w:rPr>
              <w:t>共新建</w:t>
            </w:r>
            <w:r>
              <w:rPr>
                <w:rFonts w:hint="default" w:ascii="宋体" w:hAnsi="宋体" w:eastAsia="宋体" w:cs="宋体"/>
                <w:sz w:val="21"/>
                <w:szCs w:val="21"/>
                <w:lang w:val="en-US" w:eastAsia="zh-CN"/>
              </w:rPr>
              <w:t>9</w:t>
            </w:r>
            <w:r>
              <w:rPr>
                <w:rFonts w:hint="eastAsia" w:ascii="宋体" w:hAnsi="宋体" w:eastAsia="宋体" w:cs="宋体"/>
                <w:sz w:val="21"/>
                <w:szCs w:val="21"/>
                <w:lang w:val="en-US" w:eastAsia="zh-CN"/>
              </w:rPr>
              <w:t>座立交桥；对</w:t>
            </w:r>
            <w:r>
              <w:rPr>
                <w:rFonts w:hint="default" w:ascii="宋体" w:hAnsi="宋体" w:eastAsia="宋体" w:cs="宋体"/>
                <w:sz w:val="21"/>
                <w:szCs w:val="21"/>
                <w:lang w:val="en-US" w:eastAsia="zh-CN"/>
              </w:rPr>
              <w:t>4</w:t>
            </w:r>
            <w:r>
              <w:rPr>
                <w:rFonts w:hint="eastAsia" w:ascii="宋体" w:hAnsi="宋体" w:eastAsia="宋体" w:cs="宋体"/>
                <w:sz w:val="21"/>
                <w:szCs w:val="21"/>
                <w:lang w:val="en-US" w:eastAsia="zh-CN"/>
              </w:rPr>
              <w:t>座已有桥梁进行加宽加固施工</w:t>
            </w:r>
          </w:p>
        </w:tc>
        <w:tc>
          <w:tcPr>
            <w:tcW w:w="1093" w:type="dxa"/>
            <w:tcBorders>
              <w:top w:val="nil"/>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41" w:beforeLines="0" w:afterLines="0"/>
              <w:rPr>
                <w:rFonts w:hint="eastAsia"/>
                <w:sz w:val="21"/>
                <w:szCs w:val="24"/>
              </w:rPr>
            </w:pPr>
            <w:r>
              <w:rPr>
                <w:rFonts w:hint="eastAsia" w:ascii="Times New Roman" w:hAnsi="Times New Roman" w:eastAsia="宋体"/>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1107" w:hRule="atLeast"/>
        </w:trPr>
        <w:tc>
          <w:tcPr>
            <w:tcW w:w="760" w:type="dxa"/>
            <w:vMerge w:val="continue"/>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涵洞工程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全线共有涵洞 </w:t>
            </w:r>
            <w:r>
              <w:rPr>
                <w:rFonts w:hint="default" w:ascii="宋体" w:hAnsi="宋体" w:eastAsia="宋体" w:cs="宋体"/>
                <w:sz w:val="21"/>
                <w:szCs w:val="21"/>
                <w:lang w:val="en-US" w:eastAsia="zh-CN"/>
              </w:rPr>
              <w:t xml:space="preserve">34 </w:t>
            </w:r>
            <w:r>
              <w:rPr>
                <w:rFonts w:hint="eastAsia" w:ascii="宋体" w:hAnsi="宋体" w:eastAsia="宋体" w:cs="宋体"/>
                <w:sz w:val="21"/>
                <w:szCs w:val="21"/>
                <w:lang w:val="en-US" w:eastAsia="zh-CN"/>
              </w:rPr>
              <w:t xml:space="preserve">座，其中圆管涵 </w:t>
            </w:r>
            <w:r>
              <w:rPr>
                <w:rFonts w:hint="default" w:ascii="宋体" w:hAnsi="宋体" w:eastAsia="宋体" w:cs="宋体"/>
                <w:sz w:val="21"/>
                <w:szCs w:val="21"/>
                <w:lang w:val="en-US" w:eastAsia="zh-CN"/>
              </w:rPr>
              <w:t xml:space="preserve">19 </w:t>
            </w:r>
            <w:r>
              <w:rPr>
                <w:rFonts w:hint="eastAsia" w:ascii="宋体" w:hAnsi="宋体" w:eastAsia="宋体" w:cs="宋体"/>
                <w:sz w:val="21"/>
                <w:szCs w:val="21"/>
                <w:lang w:val="en-US" w:eastAsia="zh-CN"/>
              </w:rPr>
              <w:t xml:space="preserve">座（新建 </w:t>
            </w:r>
            <w:r>
              <w:rPr>
                <w:rFonts w:hint="default" w:ascii="宋体" w:hAnsi="宋体" w:eastAsia="宋体" w:cs="宋体"/>
                <w:sz w:val="21"/>
                <w:szCs w:val="21"/>
                <w:lang w:val="en-US" w:eastAsia="zh-CN"/>
              </w:rPr>
              <w:t xml:space="preserve">6 </w:t>
            </w:r>
            <w:r>
              <w:rPr>
                <w:rFonts w:hint="eastAsia" w:ascii="宋体" w:hAnsi="宋体" w:eastAsia="宋体" w:cs="宋体"/>
                <w:sz w:val="21"/>
                <w:szCs w:val="21"/>
                <w:lang w:val="en-US" w:eastAsia="zh-CN"/>
              </w:rPr>
              <w:t xml:space="preserve">座，接长 </w:t>
            </w:r>
            <w:r>
              <w:rPr>
                <w:rFonts w:hint="default" w:ascii="宋体" w:hAnsi="宋体" w:eastAsia="宋体" w:cs="宋体"/>
                <w:sz w:val="21"/>
                <w:szCs w:val="21"/>
                <w:lang w:val="en-US" w:eastAsia="zh-CN"/>
              </w:rPr>
              <w:t xml:space="preserve">8 </w:t>
            </w:r>
            <w:r>
              <w:rPr>
                <w:rFonts w:hint="eastAsia" w:ascii="宋体" w:hAnsi="宋体" w:eastAsia="宋体" w:cs="宋体"/>
                <w:sz w:val="21"/>
                <w:szCs w:val="21"/>
                <w:lang w:val="en-US" w:eastAsia="zh-CN"/>
              </w:rPr>
              <w:t xml:space="preserve">座废弃 </w:t>
            </w:r>
            <w:r>
              <w:rPr>
                <w:rFonts w:hint="default" w:ascii="宋体" w:hAnsi="宋体" w:eastAsia="宋体" w:cs="宋体"/>
                <w:sz w:val="21"/>
                <w:szCs w:val="21"/>
                <w:lang w:val="en-US" w:eastAsia="zh-CN"/>
              </w:rPr>
              <w:t xml:space="preserve">5 </w:t>
            </w:r>
            <w:r>
              <w:rPr>
                <w:rFonts w:hint="eastAsia" w:ascii="宋体" w:hAnsi="宋体" w:eastAsia="宋体" w:cs="宋体"/>
                <w:sz w:val="21"/>
                <w:szCs w:val="21"/>
                <w:lang w:val="en-US" w:eastAsia="zh-CN"/>
              </w:rPr>
              <w:t xml:space="preserve">座），箱涵 </w:t>
            </w:r>
            <w:r>
              <w:rPr>
                <w:rFonts w:hint="default" w:ascii="宋体" w:hAnsi="宋体" w:eastAsia="宋体" w:cs="宋体"/>
                <w:sz w:val="21"/>
                <w:szCs w:val="21"/>
                <w:lang w:val="en-US" w:eastAsia="zh-CN"/>
              </w:rPr>
              <w:t xml:space="preserve">15 </w:t>
            </w:r>
            <w:r>
              <w:rPr>
                <w:rFonts w:hint="eastAsia" w:ascii="宋体" w:hAnsi="宋体" w:eastAsia="宋体" w:cs="宋体"/>
                <w:sz w:val="21"/>
                <w:szCs w:val="21"/>
                <w:lang w:val="en-US" w:eastAsia="zh-CN"/>
              </w:rPr>
              <w:t xml:space="preserve">座（新建 </w:t>
            </w:r>
            <w:r>
              <w:rPr>
                <w:rFonts w:hint="default" w:ascii="宋体" w:hAnsi="宋体" w:eastAsia="宋体" w:cs="宋体"/>
                <w:sz w:val="21"/>
                <w:szCs w:val="21"/>
                <w:lang w:val="en-US" w:eastAsia="zh-CN"/>
              </w:rPr>
              <w:t xml:space="preserve">9 </w:t>
            </w:r>
            <w:r>
              <w:rPr>
                <w:rFonts w:hint="eastAsia" w:ascii="宋体" w:hAnsi="宋体" w:eastAsia="宋体" w:cs="宋体"/>
                <w:sz w:val="21"/>
                <w:szCs w:val="21"/>
                <w:lang w:val="en-US" w:eastAsia="zh-CN"/>
              </w:rPr>
              <w:t xml:space="preserve">座，接长 </w:t>
            </w:r>
            <w:r>
              <w:rPr>
                <w:rFonts w:hint="default" w:ascii="宋体" w:hAnsi="宋体" w:eastAsia="宋体" w:cs="宋体"/>
                <w:sz w:val="21"/>
                <w:szCs w:val="21"/>
                <w:lang w:val="en-US" w:eastAsia="zh-CN"/>
              </w:rPr>
              <w:t xml:space="preserve">4 </w:t>
            </w:r>
            <w:r>
              <w:rPr>
                <w:rFonts w:hint="eastAsia" w:ascii="宋体" w:hAnsi="宋体" w:eastAsia="宋体" w:cs="宋体"/>
                <w:sz w:val="21"/>
                <w:szCs w:val="21"/>
                <w:lang w:val="en-US" w:eastAsia="zh-CN"/>
              </w:rPr>
              <w:t xml:space="preserve">座，废弃 </w:t>
            </w:r>
            <w:r>
              <w:rPr>
                <w:rFonts w:hint="default" w:ascii="宋体" w:hAnsi="宋体" w:eastAsia="宋体" w:cs="宋体"/>
                <w:sz w:val="21"/>
                <w:szCs w:val="21"/>
                <w:lang w:val="en-US" w:eastAsia="zh-CN"/>
              </w:rPr>
              <w:t xml:space="preserve">2 </w:t>
            </w:r>
            <w:r>
              <w:rPr>
                <w:rFonts w:hint="eastAsia" w:ascii="宋体" w:hAnsi="宋体" w:eastAsia="宋体" w:cs="宋体"/>
                <w:sz w:val="21"/>
                <w:szCs w:val="21"/>
                <w:lang w:val="en-US" w:eastAsia="zh-CN"/>
              </w:rPr>
              <w:t>座）</w:t>
            </w:r>
          </w:p>
        </w:tc>
        <w:tc>
          <w:tcPr>
            <w:tcW w:w="2790" w:type="dxa"/>
            <w:tcBorders>
              <w:top w:val="nil"/>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50" w:beforeLines="0" w:afterLines="0" w:line="250" w:lineRule="exact"/>
              <w:rPr>
                <w:rFonts w:hint="default" w:eastAsia="宋体"/>
                <w:sz w:val="21"/>
                <w:szCs w:val="24"/>
                <w:lang w:val="en-US" w:eastAsia="zh-CN"/>
              </w:rPr>
            </w:pPr>
            <w:r>
              <w:rPr>
                <w:rFonts w:hint="eastAsia" w:eastAsia="宋体"/>
                <w:sz w:val="21"/>
                <w:szCs w:val="24"/>
                <w:lang w:val="en-US" w:eastAsia="zh-CN"/>
              </w:rPr>
              <w:t>全线共有21</w:t>
            </w:r>
            <w:r>
              <w:rPr>
                <w:rFonts w:hint="eastAsia" w:ascii="宋体" w:hAnsi="宋体" w:eastAsia="宋体" w:cs="宋体"/>
                <w:spacing w:val="-6"/>
                <w:sz w:val="24"/>
                <w:szCs w:val="24"/>
                <w:lang w:val="en-US" w:eastAsia="zh-CN"/>
              </w:rPr>
              <w:t>道</w:t>
            </w:r>
            <w:r>
              <w:rPr>
                <w:rFonts w:hint="eastAsia" w:eastAsia="宋体"/>
                <w:sz w:val="21"/>
                <w:szCs w:val="24"/>
                <w:lang w:val="en-US" w:eastAsia="zh-CN"/>
              </w:rPr>
              <w:t>涵洞，其中排水涵洞20</w:t>
            </w:r>
            <w:r>
              <w:rPr>
                <w:rFonts w:hint="eastAsia" w:ascii="宋体" w:hAnsi="宋体" w:eastAsia="宋体" w:cs="宋体"/>
                <w:spacing w:val="-6"/>
                <w:sz w:val="24"/>
                <w:szCs w:val="24"/>
                <w:lang w:val="en-US" w:eastAsia="zh-CN"/>
              </w:rPr>
              <w:t>道</w:t>
            </w:r>
            <w:r>
              <w:rPr>
                <w:rFonts w:hint="eastAsia" w:eastAsia="宋体"/>
                <w:sz w:val="21"/>
                <w:szCs w:val="24"/>
                <w:lang w:val="en-US" w:eastAsia="zh-CN"/>
              </w:rPr>
              <w:t>，保护管道涵洞1</w:t>
            </w:r>
            <w:r>
              <w:rPr>
                <w:rFonts w:hint="eastAsia" w:ascii="宋体" w:hAnsi="宋体" w:eastAsia="宋体" w:cs="宋体"/>
                <w:spacing w:val="-6"/>
                <w:sz w:val="24"/>
                <w:szCs w:val="24"/>
                <w:lang w:val="en-US" w:eastAsia="zh-CN"/>
              </w:rPr>
              <w:t>道</w:t>
            </w:r>
            <w:r>
              <w:rPr>
                <w:rFonts w:hint="eastAsia" w:eastAsia="宋体"/>
                <w:sz w:val="21"/>
                <w:szCs w:val="24"/>
                <w:lang w:val="en-US" w:eastAsia="zh-CN"/>
              </w:rPr>
              <w:t>。</w:t>
            </w:r>
          </w:p>
        </w:tc>
        <w:tc>
          <w:tcPr>
            <w:tcW w:w="1093" w:type="dxa"/>
            <w:tcBorders>
              <w:top w:val="nil"/>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50" w:beforeLines="0" w:afterLines="0" w:line="250" w:lineRule="exact"/>
              <w:rPr>
                <w:rFonts w:hint="default" w:eastAsia="宋体"/>
                <w:sz w:val="21"/>
                <w:szCs w:val="24"/>
                <w:lang w:val="en-US" w:eastAsia="zh-CN"/>
              </w:rPr>
            </w:pPr>
            <w:r>
              <w:rPr>
                <w:rFonts w:hint="eastAsia" w:eastAsia="宋体"/>
                <w:sz w:val="21"/>
                <w:szCs w:val="24"/>
                <w:lang w:val="en-US" w:eastAsia="zh-CN"/>
              </w:rPr>
              <w:t>减少13座涵洞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3" w:type="dxa"/>
          <w:trHeight w:val="878" w:hRule="atLeast"/>
        </w:trPr>
        <w:tc>
          <w:tcPr>
            <w:tcW w:w="760" w:type="dxa"/>
            <w:vMerge w:val="continue"/>
            <w:tcBorders>
              <w:top w:val="nil"/>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人行通道工程</w:t>
            </w:r>
          </w:p>
        </w:tc>
        <w:tc>
          <w:tcPr>
            <w:tcW w:w="2962" w:type="dxa"/>
            <w:tcBorders>
              <w:top w:val="single" w:color="000000" w:sz="4" w:space="0"/>
              <w:left w:val="single" w:color="000000" w:sz="4" w:space="0"/>
              <w:bottom w:val="single" w:color="000000" w:sz="8"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项目全线共布置 </w:t>
            </w:r>
            <w:r>
              <w:rPr>
                <w:rFonts w:hint="default" w:ascii="宋体" w:hAnsi="宋体" w:eastAsia="宋体" w:cs="宋体"/>
                <w:sz w:val="21"/>
                <w:szCs w:val="21"/>
                <w:lang w:val="en-US" w:eastAsia="zh-CN"/>
              </w:rPr>
              <w:t xml:space="preserve">26 </w:t>
            </w:r>
            <w:r>
              <w:rPr>
                <w:rFonts w:hint="eastAsia" w:ascii="宋体" w:hAnsi="宋体" w:eastAsia="宋体" w:cs="宋体"/>
                <w:sz w:val="21"/>
                <w:szCs w:val="21"/>
                <w:lang w:val="en-US" w:eastAsia="zh-CN"/>
              </w:rPr>
              <w:t xml:space="preserve">道人行地道，通道间距约 </w:t>
            </w:r>
            <w:r>
              <w:rPr>
                <w:rFonts w:hint="default" w:ascii="宋体" w:hAnsi="宋体" w:eastAsia="宋体" w:cs="宋体"/>
                <w:sz w:val="21"/>
                <w:szCs w:val="21"/>
                <w:lang w:val="en-US" w:eastAsia="zh-CN"/>
              </w:rPr>
              <w:t>1.0km</w:t>
            </w:r>
            <w:r>
              <w:rPr>
                <w:rFonts w:hint="eastAsia" w:ascii="宋体" w:hAnsi="宋体" w:eastAsia="宋体" w:cs="宋体"/>
                <w:sz w:val="21"/>
                <w:szCs w:val="21"/>
                <w:lang w:val="en-US" w:eastAsia="zh-CN"/>
              </w:rPr>
              <w:t xml:space="preserve">，人行过街绕行距离约 </w:t>
            </w:r>
            <w:r>
              <w:rPr>
                <w:rFonts w:hint="default" w:ascii="宋体" w:hAnsi="宋体" w:eastAsia="宋体" w:cs="宋体"/>
                <w:sz w:val="21"/>
                <w:szCs w:val="21"/>
                <w:lang w:val="en-US" w:eastAsia="zh-CN"/>
              </w:rPr>
              <w:t>1.0km</w:t>
            </w:r>
            <w:r>
              <w:rPr>
                <w:rFonts w:hint="eastAsia" w:ascii="宋体" w:hAnsi="宋体" w:eastAsia="宋体" w:cs="宋体"/>
                <w:sz w:val="21"/>
                <w:szCs w:val="21"/>
                <w:lang w:val="en-US" w:eastAsia="zh-CN"/>
              </w:rPr>
              <w:t>。</w:t>
            </w:r>
          </w:p>
        </w:tc>
        <w:tc>
          <w:tcPr>
            <w:tcW w:w="2790" w:type="dxa"/>
            <w:tcBorders>
              <w:top w:val="nil"/>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50" w:beforeLines="0" w:afterLines="0" w:line="254" w:lineRule="exact"/>
              <w:rPr>
                <w:rFonts w:hint="eastAsia"/>
                <w:sz w:val="21"/>
                <w:szCs w:val="24"/>
              </w:rPr>
            </w:pPr>
            <w:r>
              <w:rPr>
                <w:rFonts w:hint="eastAsia" w:ascii="宋体" w:hAnsi="宋体" w:eastAsia="宋体" w:cs="宋体"/>
                <w:sz w:val="21"/>
                <w:szCs w:val="21"/>
                <w:lang w:val="en-US" w:eastAsia="zh-CN"/>
              </w:rPr>
              <w:t xml:space="preserve">项目全线共布置 </w:t>
            </w:r>
            <w:r>
              <w:rPr>
                <w:rFonts w:hint="default" w:ascii="宋体" w:hAnsi="宋体" w:eastAsia="宋体" w:cs="宋体"/>
                <w:sz w:val="21"/>
                <w:szCs w:val="21"/>
                <w:lang w:val="en-US" w:eastAsia="zh-CN"/>
              </w:rPr>
              <w:t xml:space="preserve">26 </w:t>
            </w:r>
            <w:r>
              <w:rPr>
                <w:rFonts w:hint="eastAsia" w:ascii="宋体" w:hAnsi="宋体" w:eastAsia="宋体" w:cs="宋体"/>
                <w:sz w:val="21"/>
                <w:szCs w:val="21"/>
                <w:lang w:val="en-US" w:eastAsia="zh-CN"/>
              </w:rPr>
              <w:t xml:space="preserve">道人行地道，通道间距约 </w:t>
            </w:r>
            <w:r>
              <w:rPr>
                <w:rFonts w:hint="default" w:ascii="宋体" w:hAnsi="宋体" w:eastAsia="宋体" w:cs="宋体"/>
                <w:sz w:val="21"/>
                <w:szCs w:val="21"/>
                <w:lang w:val="en-US" w:eastAsia="zh-CN"/>
              </w:rPr>
              <w:t>1.0km</w:t>
            </w:r>
            <w:r>
              <w:rPr>
                <w:rFonts w:hint="eastAsia" w:ascii="宋体" w:hAnsi="宋体" w:eastAsia="宋体" w:cs="宋体"/>
                <w:sz w:val="21"/>
                <w:szCs w:val="21"/>
                <w:lang w:val="en-US" w:eastAsia="zh-CN"/>
              </w:rPr>
              <w:t xml:space="preserve">，人行过街绕行距离约 </w:t>
            </w:r>
            <w:r>
              <w:rPr>
                <w:rFonts w:hint="default" w:ascii="宋体" w:hAnsi="宋体" w:eastAsia="宋体" w:cs="宋体"/>
                <w:sz w:val="21"/>
                <w:szCs w:val="21"/>
                <w:lang w:val="en-US" w:eastAsia="zh-CN"/>
              </w:rPr>
              <w:t>1.0km</w:t>
            </w:r>
          </w:p>
        </w:tc>
        <w:tc>
          <w:tcPr>
            <w:tcW w:w="1093" w:type="dxa"/>
            <w:tcBorders>
              <w:top w:val="nil"/>
              <w:left w:val="single" w:color="000000" w:sz="4" w:space="0"/>
              <w:bottom w:val="single" w:color="000000" w:sz="8" w:space="0"/>
              <w:right w:val="single" w:color="000000" w:sz="4" w:space="0"/>
              <w:tl2br w:val="nil"/>
              <w:tr2bl w:val="nil"/>
            </w:tcBorders>
            <w:noWrap w:val="0"/>
            <w:vAlign w:val="top"/>
          </w:tcPr>
          <w:p>
            <w:pPr>
              <w:pStyle w:val="19"/>
              <w:kinsoku w:val="0"/>
              <w:overflowPunct w:val="0"/>
              <w:spacing w:before="50" w:beforeLines="0" w:afterLines="0" w:line="254" w:lineRule="exact"/>
              <w:rPr>
                <w:rFonts w:hint="default" w:eastAsia="宋体"/>
                <w:sz w:val="21"/>
                <w:szCs w:val="24"/>
                <w:lang w:val="en-US" w:eastAsia="zh-CN"/>
              </w:rPr>
            </w:pPr>
            <w:r>
              <w:rPr>
                <w:rFonts w:hint="eastAsia" w:eastAsia="宋体"/>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1" w:hRule="atLeast"/>
        </w:trPr>
        <w:tc>
          <w:tcPr>
            <w:tcW w:w="763"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辅助工程</w:t>
            </w: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综合管廊工程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项目综合管廊工程长度约 </w:t>
            </w:r>
            <w:r>
              <w:rPr>
                <w:rFonts w:hint="default" w:ascii="宋体" w:hAnsi="宋体" w:eastAsia="宋体" w:cs="宋体"/>
                <w:sz w:val="21"/>
                <w:szCs w:val="21"/>
                <w:lang w:val="en-US" w:eastAsia="zh-CN"/>
              </w:rPr>
              <w:t>10km</w:t>
            </w:r>
            <w:r>
              <w:rPr>
                <w:rFonts w:hint="eastAsia" w:ascii="宋体" w:hAnsi="宋体" w:eastAsia="宋体" w:cs="宋体"/>
                <w:sz w:val="21"/>
                <w:szCs w:val="21"/>
                <w:lang w:val="en-US" w:eastAsia="zh-CN"/>
              </w:rPr>
              <w:t xml:space="preserve">。拟入廊管线：电力、给水、通信等 </w:t>
            </w:r>
            <w:r>
              <w:rPr>
                <w:rFonts w:hint="default" w:ascii="宋体" w:hAnsi="宋体" w:eastAsia="宋体" w:cs="宋体"/>
                <w:sz w:val="21"/>
                <w:szCs w:val="21"/>
                <w:lang w:val="en-US" w:eastAsia="zh-CN"/>
              </w:rPr>
              <w:t xml:space="preserve">3 </w:t>
            </w:r>
            <w:r>
              <w:rPr>
                <w:rFonts w:hint="eastAsia" w:ascii="宋体" w:hAnsi="宋体" w:eastAsia="宋体" w:cs="宋体"/>
                <w:sz w:val="21"/>
                <w:szCs w:val="21"/>
                <w:lang w:val="en-US" w:eastAsia="zh-CN"/>
              </w:rPr>
              <w:t xml:space="preserve">类管线。管廊为双舱， 合舱内有 </w:t>
            </w:r>
            <w:r>
              <w:rPr>
                <w:rFonts w:hint="default" w:ascii="宋体" w:hAnsi="宋体" w:eastAsia="宋体" w:cs="宋体"/>
                <w:sz w:val="21"/>
                <w:szCs w:val="21"/>
                <w:lang w:val="en-US" w:eastAsia="zh-CN"/>
              </w:rPr>
              <w:t xml:space="preserve">DN500 </w:t>
            </w:r>
            <w:r>
              <w:rPr>
                <w:rFonts w:hint="eastAsia" w:ascii="宋体" w:hAnsi="宋体" w:eastAsia="宋体" w:cs="宋体"/>
                <w:sz w:val="21"/>
                <w:szCs w:val="21"/>
                <w:lang w:val="en-US" w:eastAsia="zh-CN"/>
              </w:rPr>
              <w:t xml:space="preserve">给水管、通信等弱电 道及 </w:t>
            </w:r>
            <w:r>
              <w:rPr>
                <w:rFonts w:hint="default" w:ascii="宋体" w:hAnsi="宋体" w:eastAsia="宋体" w:cs="宋体"/>
                <w:sz w:val="21"/>
                <w:szCs w:val="21"/>
                <w:lang w:val="en-US" w:eastAsia="zh-CN"/>
              </w:rPr>
              <w:t xml:space="preserve">110kV </w:t>
            </w:r>
            <w:r>
              <w:rPr>
                <w:rFonts w:hint="eastAsia" w:ascii="宋体" w:hAnsi="宋体" w:eastAsia="宋体" w:cs="宋体"/>
                <w:sz w:val="21"/>
                <w:szCs w:val="21"/>
                <w:lang w:val="en-US" w:eastAsia="zh-CN"/>
              </w:rPr>
              <w:t>及以下高压电缆。</w:t>
            </w:r>
          </w:p>
        </w:tc>
        <w:tc>
          <w:tcPr>
            <w:tcW w:w="27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9"/>
              <w:kinsoku w:val="0"/>
              <w:overflowPunct w:val="0"/>
              <w:spacing w:before="1" w:beforeLines="0" w:afterLines="0" w:line="252" w:lineRule="exact"/>
              <w:rPr>
                <w:rFonts w:hint="default" w:eastAsia="宋体"/>
                <w:sz w:val="21"/>
                <w:szCs w:val="24"/>
                <w:lang w:val="en-US" w:eastAsia="zh-CN"/>
              </w:rPr>
            </w:pPr>
            <w:r>
              <w:rPr>
                <w:rFonts w:hint="eastAsia" w:eastAsia="宋体"/>
                <w:sz w:val="21"/>
                <w:szCs w:val="24"/>
                <w:lang w:val="en-US" w:eastAsia="zh-CN"/>
              </w:rPr>
              <w:t>项目综合管廊11199.504米</w:t>
            </w:r>
            <w:r>
              <w:rPr>
                <w:rFonts w:hint="eastAsia" w:ascii="宋体" w:hAnsi="宋体" w:eastAsia="宋体" w:cs="宋体"/>
                <w:sz w:val="21"/>
                <w:szCs w:val="21"/>
                <w:lang w:val="en-US" w:eastAsia="zh-CN"/>
              </w:rPr>
              <w:t xml:space="preserve">入廊管线：电力、给水、通信等 </w:t>
            </w:r>
            <w:r>
              <w:rPr>
                <w:rFonts w:hint="default" w:ascii="宋体" w:hAnsi="宋体" w:eastAsia="宋体" w:cs="宋体"/>
                <w:sz w:val="21"/>
                <w:szCs w:val="21"/>
                <w:lang w:val="en-US" w:eastAsia="zh-CN"/>
              </w:rPr>
              <w:t xml:space="preserve">3 </w:t>
            </w:r>
            <w:r>
              <w:rPr>
                <w:rFonts w:hint="eastAsia" w:ascii="宋体" w:hAnsi="宋体" w:eastAsia="宋体" w:cs="宋体"/>
                <w:sz w:val="21"/>
                <w:szCs w:val="21"/>
                <w:lang w:val="en-US" w:eastAsia="zh-CN"/>
              </w:rPr>
              <w:t xml:space="preserve">类管线。管廊为双舱， 合舱内有 </w:t>
            </w:r>
            <w:r>
              <w:rPr>
                <w:rFonts w:hint="default" w:ascii="宋体" w:hAnsi="宋体" w:eastAsia="宋体" w:cs="宋体"/>
                <w:sz w:val="21"/>
                <w:szCs w:val="21"/>
                <w:lang w:val="en-US" w:eastAsia="zh-CN"/>
              </w:rPr>
              <w:t xml:space="preserve">DN500 </w:t>
            </w:r>
            <w:r>
              <w:rPr>
                <w:rFonts w:hint="eastAsia" w:ascii="宋体" w:hAnsi="宋体" w:eastAsia="宋体" w:cs="宋体"/>
                <w:sz w:val="21"/>
                <w:szCs w:val="21"/>
                <w:lang w:val="en-US" w:eastAsia="zh-CN"/>
              </w:rPr>
              <w:t xml:space="preserve">给水管、通信等弱电 道及 </w:t>
            </w:r>
            <w:r>
              <w:rPr>
                <w:rFonts w:hint="default" w:ascii="宋体" w:hAnsi="宋体" w:eastAsia="宋体" w:cs="宋体"/>
                <w:sz w:val="21"/>
                <w:szCs w:val="21"/>
                <w:lang w:val="en-US" w:eastAsia="zh-CN"/>
              </w:rPr>
              <w:t xml:space="preserve">110kV </w:t>
            </w:r>
            <w:r>
              <w:rPr>
                <w:rFonts w:hint="eastAsia" w:ascii="宋体" w:hAnsi="宋体" w:eastAsia="宋体" w:cs="宋体"/>
                <w:sz w:val="21"/>
                <w:szCs w:val="21"/>
                <w:lang w:val="en-US" w:eastAsia="zh-CN"/>
              </w:rPr>
              <w:t>及以下高压电缆</w:t>
            </w:r>
            <w:r>
              <w:rPr>
                <w:rFonts w:hint="eastAsia" w:eastAsia="宋体"/>
                <w:sz w:val="21"/>
                <w:szCs w:val="24"/>
                <w:lang w:val="en-US" w:eastAsia="zh-CN"/>
              </w:rPr>
              <w:t>。</w:t>
            </w:r>
          </w:p>
        </w:tc>
        <w:tc>
          <w:tcPr>
            <w:tcW w:w="1093"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pStyle w:val="19"/>
              <w:kinsoku w:val="0"/>
              <w:overflowPunct w:val="0"/>
              <w:spacing w:before="1" w:beforeLines="0" w:afterLines="0" w:line="252" w:lineRule="exact"/>
              <w:rPr>
                <w:rFonts w:hint="default" w:eastAsia="宋体"/>
                <w:sz w:val="21"/>
                <w:szCs w:val="24"/>
                <w:lang w:val="en-US" w:eastAsia="zh-CN"/>
              </w:rPr>
            </w:pPr>
            <w:r>
              <w:rPr>
                <w:rFonts w:hint="eastAsia" w:eastAsia="宋体"/>
                <w:sz w:val="21"/>
                <w:szCs w:val="24"/>
                <w:lang w:val="en-US" w:eastAsia="zh-CN"/>
              </w:rPr>
              <w:t>管廊增长1199.504米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763" w:type="dxa"/>
            <w:gridSpan w:val="2"/>
            <w:vMerge w:val="continue"/>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交通工程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设置警告、指示、禁令等标志；路面设置各类标线；设置信号灯</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设置警告、指示、禁令等标志；路面设置各类标线；设置信号灯</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pStyle w:val="19"/>
              <w:kinsoku w:val="0"/>
              <w:overflowPunct w:val="0"/>
              <w:spacing w:before="46" w:beforeLines="0" w:afterLines="0" w:line="288" w:lineRule="auto"/>
              <w:ind w:right="44"/>
              <w:rPr>
                <w:rFonts w:hint="default" w:eastAsia="宋体"/>
                <w:spacing w:val="-8"/>
                <w:sz w:val="21"/>
                <w:szCs w:val="24"/>
                <w:lang w:val="en-US" w:eastAsia="zh-CN"/>
              </w:rPr>
            </w:pPr>
            <w:r>
              <w:rPr>
                <w:rFonts w:hint="eastAsia" w:eastAsia="宋体"/>
                <w:spacing w:val="-8"/>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63"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临时工程</w:t>
            </w: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拌合站</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both"/>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项目在当地搅拌站外购商品沥青混凝土土和水泥稳定碎石，不在现场设置拌合站。</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both"/>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项目在当地搅拌站外购商品沥青混凝土土和水泥稳定碎石，不在现场设置拌合站。</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kinsoku w:val="0"/>
              <w:overflowPunct w:val="0"/>
              <w:spacing w:before="43" w:beforeLines="0" w:afterLines="0"/>
              <w:rPr>
                <w:rFonts w:hint="eastAsia"/>
                <w:sz w:val="21"/>
                <w:szCs w:val="24"/>
              </w:rPr>
            </w:pPr>
            <w:r>
              <w:rPr>
                <w:rFonts w:hint="eastAsia" w:eastAsia="宋体"/>
                <w:spacing w:val="-8"/>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763" w:type="dxa"/>
            <w:gridSpan w:val="2"/>
            <w:vMerge w:val="continue"/>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施工便道</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布置总长约 </w:t>
            </w:r>
            <w:r>
              <w:rPr>
                <w:rFonts w:hint="default" w:ascii="宋体" w:hAnsi="宋体" w:eastAsia="宋体" w:cs="宋体"/>
                <w:sz w:val="21"/>
                <w:szCs w:val="21"/>
                <w:lang w:val="en-US" w:eastAsia="zh-CN"/>
              </w:rPr>
              <w:t xml:space="preserve">6.4km </w:t>
            </w:r>
            <w:r>
              <w:rPr>
                <w:rFonts w:hint="eastAsia" w:ascii="宋体" w:hAnsi="宋体" w:eastAsia="宋体" w:cs="宋体"/>
                <w:sz w:val="21"/>
                <w:szCs w:val="21"/>
                <w:lang w:val="en-US" w:eastAsia="zh-CN"/>
              </w:rPr>
              <w:t>的施工便道</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 xml:space="preserve">布置总长约 </w:t>
            </w:r>
            <w:r>
              <w:rPr>
                <w:rFonts w:hint="default" w:ascii="宋体" w:hAnsi="宋体" w:eastAsia="宋体" w:cs="宋体"/>
                <w:sz w:val="21"/>
                <w:szCs w:val="21"/>
                <w:lang w:val="en-US" w:eastAsia="zh-CN"/>
              </w:rPr>
              <w:t xml:space="preserve">6.4km </w:t>
            </w:r>
            <w:r>
              <w:rPr>
                <w:rFonts w:hint="eastAsia" w:ascii="宋体" w:hAnsi="宋体" w:eastAsia="宋体" w:cs="宋体"/>
                <w:sz w:val="21"/>
                <w:szCs w:val="21"/>
                <w:lang w:val="en-US" w:eastAsia="zh-CN"/>
              </w:rPr>
              <w:t>的施工便道</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kinsoku w:val="0"/>
              <w:overflowPunct w:val="0"/>
              <w:spacing w:before="22" w:beforeLines="0" w:afterLines="0"/>
              <w:rPr>
                <w:rFonts w:hint="eastAsia"/>
                <w:sz w:val="21"/>
                <w:szCs w:val="24"/>
              </w:rPr>
            </w:pPr>
            <w:r>
              <w:rPr>
                <w:rFonts w:hint="eastAsia" w:eastAsia="宋体"/>
                <w:spacing w:val="-8"/>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63" w:type="dxa"/>
            <w:gridSpan w:val="2"/>
            <w:vMerge w:val="continue"/>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施工工</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设置</w:t>
            </w:r>
            <w:r>
              <w:rPr>
                <w:rFonts w:hint="default" w:ascii="宋体" w:hAnsi="宋体" w:eastAsia="宋体" w:cs="宋体"/>
                <w:sz w:val="21"/>
                <w:szCs w:val="21"/>
                <w:lang w:val="en-US" w:eastAsia="zh-CN"/>
              </w:rPr>
              <w:t>5</w:t>
            </w:r>
            <w:r>
              <w:rPr>
                <w:rFonts w:hint="eastAsia" w:ascii="宋体" w:hAnsi="宋体" w:eastAsia="宋体" w:cs="宋体"/>
                <w:sz w:val="21"/>
                <w:szCs w:val="21"/>
                <w:lang w:val="en-US" w:eastAsia="zh-CN"/>
              </w:rPr>
              <w:t>个施工工场，用于设置施工预制场、材料临时堆场和设备临时堆场等。</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设置</w:t>
            </w:r>
            <w:r>
              <w:rPr>
                <w:rFonts w:hint="default" w:ascii="宋体" w:hAnsi="宋体" w:eastAsia="宋体" w:cs="宋体"/>
                <w:sz w:val="21"/>
                <w:szCs w:val="21"/>
                <w:lang w:val="en-US" w:eastAsia="zh-CN"/>
              </w:rPr>
              <w:t>5</w:t>
            </w:r>
            <w:r>
              <w:rPr>
                <w:rFonts w:hint="eastAsia" w:ascii="宋体" w:hAnsi="宋体" w:eastAsia="宋体" w:cs="宋体"/>
                <w:sz w:val="21"/>
                <w:szCs w:val="21"/>
                <w:lang w:val="en-US" w:eastAsia="zh-CN"/>
              </w:rPr>
              <w:t>个施工工场，用于设置施工预制场、材料临时堆场和设备临时堆场等。</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kinsoku w:val="0"/>
              <w:overflowPunct w:val="0"/>
              <w:spacing w:before="43" w:beforeLines="0" w:afterLines="0"/>
              <w:rPr>
                <w:rFonts w:hint="eastAsia"/>
                <w:sz w:val="21"/>
                <w:szCs w:val="24"/>
              </w:rPr>
            </w:pPr>
            <w:r>
              <w:rPr>
                <w:rFonts w:hint="eastAsia" w:eastAsia="宋体"/>
                <w:spacing w:val="-8"/>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763" w:type="dxa"/>
            <w:gridSpan w:val="2"/>
            <w:vMerge w:val="continue"/>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施工营地</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left"/>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施工人员住宿及施工企业办公室均采用租住的方式解决</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left"/>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施工人员住宿及施工企业办公室均采用租住的方式解决</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kinsoku w:val="0"/>
              <w:overflowPunct w:val="0"/>
              <w:spacing w:before="22" w:beforeLines="0" w:afterLines="0"/>
              <w:rPr>
                <w:rFonts w:hint="eastAsia"/>
                <w:sz w:val="21"/>
                <w:szCs w:val="24"/>
              </w:rPr>
            </w:pPr>
            <w:r>
              <w:rPr>
                <w:rFonts w:hint="eastAsia" w:eastAsia="宋体"/>
                <w:spacing w:val="-8"/>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trPr>
        <w:tc>
          <w:tcPr>
            <w:tcW w:w="763" w:type="dxa"/>
            <w:gridSpan w:val="2"/>
            <w:vMerge w:val="continue"/>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临时渣场</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项目采用边开挖边清运至政府制定地点的方式，不设置临时渣场；</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项目采用边开挖边清运至政府制定地点的方式，不设置临时渣场；</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kinsoku w:val="0"/>
              <w:overflowPunct w:val="0"/>
              <w:spacing w:before="43" w:beforeLines="0" w:afterLines="0"/>
              <w:rPr>
                <w:rFonts w:hint="eastAsia"/>
                <w:sz w:val="21"/>
                <w:szCs w:val="24"/>
              </w:rPr>
            </w:pPr>
            <w:r>
              <w:rPr>
                <w:rFonts w:hint="eastAsia" w:eastAsia="宋体"/>
                <w:spacing w:val="-8"/>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763" w:type="dxa"/>
            <w:gridSpan w:val="2"/>
            <w:vMerge w:val="continue"/>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临时表土堆场</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设置了 </w:t>
            </w:r>
            <w:r>
              <w:rPr>
                <w:rFonts w:hint="default" w:ascii="宋体" w:hAnsi="宋体" w:eastAsia="宋体" w:cs="宋体"/>
                <w:sz w:val="21"/>
                <w:szCs w:val="21"/>
                <w:lang w:val="en-US" w:eastAsia="zh-CN"/>
              </w:rPr>
              <w:t xml:space="preserve">7 </w:t>
            </w:r>
            <w:r>
              <w:rPr>
                <w:rFonts w:hint="eastAsia" w:ascii="宋体" w:hAnsi="宋体" w:eastAsia="宋体" w:cs="宋体"/>
                <w:sz w:val="21"/>
                <w:szCs w:val="21"/>
                <w:lang w:val="en-US" w:eastAsia="zh-CN"/>
              </w:rPr>
              <w:t xml:space="preserve">个临时表土堆场，总占地面积为 </w:t>
            </w:r>
            <w:r>
              <w:rPr>
                <w:rFonts w:hint="default" w:ascii="宋体" w:hAnsi="宋体" w:eastAsia="宋体" w:cs="宋体"/>
                <w:sz w:val="21"/>
                <w:szCs w:val="21"/>
                <w:lang w:val="en-US" w:eastAsia="zh-CN"/>
              </w:rPr>
              <w:t>4.72hm²</w:t>
            </w:r>
            <w:r>
              <w:rPr>
                <w:rFonts w:hint="eastAsia" w:ascii="宋体" w:hAnsi="宋体" w:eastAsia="宋体" w:cs="宋体"/>
                <w:sz w:val="21"/>
                <w:szCs w:val="21"/>
                <w:lang w:val="en-US" w:eastAsia="zh-CN"/>
              </w:rPr>
              <w:t>。</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 xml:space="preserve">设置了 </w:t>
            </w:r>
            <w:r>
              <w:rPr>
                <w:rFonts w:hint="default" w:ascii="宋体" w:hAnsi="宋体" w:eastAsia="宋体" w:cs="宋体"/>
                <w:sz w:val="21"/>
                <w:szCs w:val="21"/>
                <w:lang w:val="en-US" w:eastAsia="zh-CN"/>
              </w:rPr>
              <w:t xml:space="preserve">7 </w:t>
            </w:r>
            <w:r>
              <w:rPr>
                <w:rFonts w:hint="eastAsia" w:ascii="宋体" w:hAnsi="宋体" w:eastAsia="宋体" w:cs="宋体"/>
                <w:sz w:val="21"/>
                <w:szCs w:val="21"/>
                <w:lang w:val="en-US" w:eastAsia="zh-CN"/>
              </w:rPr>
              <w:t xml:space="preserve">个临时表土堆场，总占地面积为 </w:t>
            </w:r>
            <w:r>
              <w:rPr>
                <w:rFonts w:hint="default" w:ascii="宋体" w:hAnsi="宋体" w:eastAsia="宋体" w:cs="宋体"/>
                <w:sz w:val="21"/>
                <w:szCs w:val="21"/>
                <w:lang w:val="en-US" w:eastAsia="zh-CN"/>
              </w:rPr>
              <w:t>4.72hm²</w:t>
            </w:r>
            <w:r>
              <w:rPr>
                <w:rFonts w:hint="eastAsia" w:ascii="宋体" w:hAnsi="宋体" w:eastAsia="宋体" w:cs="宋体"/>
                <w:sz w:val="21"/>
                <w:szCs w:val="21"/>
                <w:lang w:val="en-US" w:eastAsia="zh-CN"/>
              </w:rPr>
              <w:t>。</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kinsoku w:val="0"/>
              <w:overflowPunct w:val="0"/>
              <w:spacing w:before="22" w:beforeLines="0" w:afterLines="0"/>
              <w:rPr>
                <w:rFonts w:hint="eastAsia"/>
                <w:sz w:val="21"/>
                <w:szCs w:val="24"/>
              </w:rPr>
            </w:pPr>
            <w:r>
              <w:rPr>
                <w:rFonts w:hint="eastAsia" w:eastAsia="宋体"/>
                <w:spacing w:val="-8"/>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763"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环保工程</w:t>
            </w: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道路红线内</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绿化工程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在道路红线内中央分隔带、主辅道分隔带，及车行道两侧进行绿化。共计绿化面积 </w:t>
            </w:r>
            <w:r>
              <w:rPr>
                <w:rFonts w:hint="default" w:ascii="宋体" w:hAnsi="宋体" w:eastAsia="宋体" w:cs="宋体"/>
                <w:sz w:val="21"/>
                <w:szCs w:val="21"/>
                <w:lang w:val="en-US" w:eastAsia="zh-CN"/>
              </w:rPr>
              <w:t>249142hm</w:t>
            </w:r>
            <w:r>
              <w:rPr>
                <w:rFonts w:hint="default" w:ascii="宋体" w:hAnsi="宋体" w:eastAsia="宋体" w:cs="宋体"/>
                <w:sz w:val="21"/>
                <w:szCs w:val="21"/>
                <w:vertAlign w:val="superscript"/>
                <w:lang w:val="en-US" w:eastAsia="zh-CN"/>
              </w:rPr>
              <w:t>2</w:t>
            </w:r>
            <w:r>
              <w:rPr>
                <w:rFonts w:hint="eastAsia" w:ascii="宋体" w:hAnsi="宋体" w:eastAsia="宋体" w:cs="宋体"/>
                <w:sz w:val="21"/>
                <w:szCs w:val="21"/>
                <w:lang w:val="en-US" w:eastAsia="zh-CN"/>
              </w:rPr>
              <w:t>。</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 xml:space="preserve">在道路红线内中央分隔带、主辅道分隔带，及车行道两侧进行绿化。共计绿化面积 </w:t>
            </w:r>
            <w:r>
              <w:rPr>
                <w:rFonts w:hint="default" w:ascii="宋体" w:hAnsi="宋体" w:eastAsia="宋体" w:cs="宋体"/>
                <w:sz w:val="21"/>
                <w:szCs w:val="21"/>
                <w:lang w:val="en-US" w:eastAsia="zh-CN"/>
              </w:rPr>
              <w:t>249142hm</w:t>
            </w:r>
            <w:r>
              <w:rPr>
                <w:rFonts w:hint="default" w:ascii="宋体" w:hAnsi="宋体" w:eastAsia="宋体" w:cs="宋体"/>
                <w:sz w:val="21"/>
                <w:szCs w:val="21"/>
                <w:vertAlign w:val="superscript"/>
                <w:lang w:val="en-US" w:eastAsia="zh-CN"/>
              </w:rPr>
              <w:t>2</w:t>
            </w:r>
            <w:r>
              <w:rPr>
                <w:rFonts w:hint="eastAsia" w:ascii="宋体" w:hAnsi="宋体" w:eastAsia="宋体" w:cs="宋体"/>
                <w:sz w:val="21"/>
                <w:szCs w:val="21"/>
                <w:lang w:val="en-US" w:eastAsia="zh-CN"/>
              </w:rPr>
              <w:t>。</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kinsoku w:val="0"/>
              <w:overflowPunct w:val="0"/>
              <w:spacing w:before="71" w:beforeLines="0" w:afterLines="0" w:line="257" w:lineRule="exact"/>
              <w:rPr>
                <w:rFonts w:hint="eastAsia"/>
                <w:sz w:val="21"/>
                <w:szCs w:val="24"/>
              </w:rPr>
            </w:pPr>
            <w:r>
              <w:rPr>
                <w:rFonts w:hint="eastAsia" w:eastAsia="宋体"/>
                <w:spacing w:val="-8"/>
                <w:sz w:val="21"/>
                <w:szCs w:val="24"/>
                <w:lang w:val="en-US" w:eastAsia="zh-CN"/>
              </w:rPr>
              <w:t>无变化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trPr>
        <w:tc>
          <w:tcPr>
            <w:tcW w:w="763" w:type="dxa"/>
            <w:gridSpan w:val="2"/>
            <w:vMerge w:val="continue"/>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default" w:ascii="宋体" w:hAnsi="宋体" w:eastAsia="宋体" w:cs="宋体"/>
                <w:sz w:val="21"/>
                <w:szCs w:val="21"/>
                <w:lang w:val="en-US" w:eastAsia="zh-CN"/>
              </w:rPr>
            </w:pPr>
          </w:p>
        </w:tc>
        <w:tc>
          <w:tcPr>
            <w:tcW w:w="84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生态修复</w:t>
            </w:r>
          </w:p>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工程</w:t>
            </w:r>
          </w:p>
        </w:tc>
        <w:tc>
          <w:tcPr>
            <w:tcW w:w="296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both"/>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项目沿道路红线外两侧 </w:t>
            </w:r>
            <w:r>
              <w:rPr>
                <w:rFonts w:hint="default" w:ascii="宋体" w:hAnsi="宋体" w:eastAsia="宋体" w:cs="宋体"/>
                <w:sz w:val="21"/>
                <w:szCs w:val="21"/>
                <w:lang w:val="en-US" w:eastAsia="zh-CN"/>
              </w:rPr>
              <w:t xml:space="preserve">13.5m </w:t>
            </w:r>
            <w:r>
              <w:rPr>
                <w:rFonts w:hint="eastAsia" w:ascii="宋体" w:hAnsi="宋体" w:eastAsia="宋体" w:cs="宋体"/>
                <w:sz w:val="21"/>
                <w:szCs w:val="21"/>
                <w:lang w:val="en-US" w:eastAsia="zh-CN"/>
              </w:rPr>
              <w:t xml:space="preserve">范围内进行生态修复绿化景观工程，共计绿化面积 </w:t>
            </w:r>
            <w:r>
              <w:rPr>
                <w:rFonts w:hint="default" w:ascii="宋体" w:hAnsi="宋体" w:eastAsia="宋体" w:cs="宋体"/>
                <w:sz w:val="21"/>
                <w:szCs w:val="21"/>
                <w:lang w:val="en-US" w:eastAsia="zh-CN"/>
              </w:rPr>
              <w:t>665631hm</w:t>
            </w:r>
            <w:r>
              <w:rPr>
                <w:rFonts w:hint="default" w:ascii="宋体" w:hAnsi="宋体" w:eastAsia="宋体" w:cs="宋体"/>
                <w:sz w:val="21"/>
                <w:szCs w:val="21"/>
                <w:vertAlign w:val="superscript"/>
                <w:lang w:val="en-US" w:eastAsia="zh-CN"/>
              </w:rPr>
              <w:t>2</w:t>
            </w:r>
            <w:r>
              <w:rPr>
                <w:rFonts w:hint="eastAsia" w:ascii="宋体" w:hAnsi="宋体" w:eastAsia="宋体" w:cs="宋体"/>
                <w:sz w:val="21"/>
                <w:szCs w:val="21"/>
                <w:lang w:val="en-US" w:eastAsia="zh-CN"/>
              </w:rPr>
              <w:t>。</w:t>
            </w:r>
          </w:p>
        </w:tc>
        <w:tc>
          <w:tcPr>
            <w:tcW w:w="2790" w:type="dxa"/>
            <w:tcBorders>
              <w:top w:val="nil"/>
              <w:left w:val="single" w:color="000000" w:sz="4" w:space="0"/>
              <w:bottom w:val="single" w:color="000000" w:sz="4" w:space="0"/>
              <w:right w:val="single" w:color="000000" w:sz="4" w:space="0"/>
              <w:tl2br w:val="nil"/>
              <w:tr2bl w:val="nil"/>
            </w:tcBorders>
            <w:noWrap w:val="0"/>
            <w:vAlign w:val="top"/>
          </w:tcPr>
          <w:p>
            <w:pPr>
              <w:keepNext w:val="0"/>
              <w:keepLines w:val="0"/>
              <w:pageBreakBefore w:val="0"/>
              <w:widowControl/>
              <w:kinsoku w:val="0"/>
              <w:wordWrap/>
              <w:overflowPunct/>
              <w:topLinePunct w:val="0"/>
              <w:autoSpaceDE w:val="0"/>
              <w:autoSpaceDN w:val="0"/>
              <w:bidi w:val="0"/>
              <w:adjustRightInd w:val="0"/>
              <w:snapToGrid w:val="0"/>
              <w:spacing w:line="240" w:lineRule="atLeast"/>
              <w:ind w:left="0" w:leftChars="0"/>
              <w:jc w:val="both"/>
              <w:textAlignment w:val="baseline"/>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szCs w:val="21"/>
                <w:lang w:val="en-US" w:eastAsia="zh-CN"/>
              </w:rPr>
              <w:t xml:space="preserve">项目沿道路红线外两侧 </w:t>
            </w:r>
            <w:r>
              <w:rPr>
                <w:rFonts w:hint="default" w:ascii="宋体" w:hAnsi="宋体" w:eastAsia="宋体" w:cs="宋体"/>
                <w:sz w:val="21"/>
                <w:szCs w:val="21"/>
                <w:lang w:val="en-US" w:eastAsia="zh-CN"/>
              </w:rPr>
              <w:t xml:space="preserve">13.5m </w:t>
            </w:r>
            <w:r>
              <w:rPr>
                <w:rFonts w:hint="eastAsia" w:ascii="宋体" w:hAnsi="宋体" w:eastAsia="宋体" w:cs="宋体"/>
                <w:sz w:val="21"/>
                <w:szCs w:val="21"/>
                <w:lang w:val="en-US" w:eastAsia="zh-CN"/>
              </w:rPr>
              <w:t xml:space="preserve">范围内进行生态修复绿化景观工程，共计绿化面积 </w:t>
            </w:r>
            <w:r>
              <w:rPr>
                <w:rFonts w:hint="default" w:ascii="宋体" w:hAnsi="宋体" w:eastAsia="宋体" w:cs="宋体"/>
                <w:sz w:val="21"/>
                <w:szCs w:val="21"/>
                <w:lang w:val="en-US" w:eastAsia="zh-CN"/>
              </w:rPr>
              <w:t>665631hm</w:t>
            </w:r>
            <w:r>
              <w:rPr>
                <w:rFonts w:hint="default" w:ascii="宋体" w:hAnsi="宋体" w:eastAsia="宋体" w:cs="宋体"/>
                <w:sz w:val="21"/>
                <w:szCs w:val="21"/>
                <w:vertAlign w:val="superscript"/>
                <w:lang w:val="en-US" w:eastAsia="zh-CN"/>
              </w:rPr>
              <w:t>2</w:t>
            </w:r>
            <w:r>
              <w:rPr>
                <w:rFonts w:hint="eastAsia" w:ascii="宋体" w:hAnsi="宋体" w:eastAsia="宋体" w:cs="宋体"/>
                <w:sz w:val="21"/>
                <w:szCs w:val="21"/>
                <w:lang w:val="en-US" w:eastAsia="zh-CN"/>
              </w:rPr>
              <w:t>。</w:t>
            </w:r>
          </w:p>
        </w:tc>
        <w:tc>
          <w:tcPr>
            <w:tcW w:w="1093" w:type="dxa"/>
            <w:tcBorders>
              <w:top w:val="nil"/>
              <w:left w:val="single" w:color="000000" w:sz="4" w:space="0"/>
              <w:bottom w:val="single" w:color="000000" w:sz="4" w:space="0"/>
              <w:right w:val="single" w:color="000000" w:sz="4" w:space="0"/>
              <w:tl2br w:val="nil"/>
              <w:tr2bl w:val="nil"/>
            </w:tcBorders>
            <w:noWrap w:val="0"/>
            <w:vAlign w:val="top"/>
          </w:tcPr>
          <w:p>
            <w:pPr>
              <w:kinsoku w:val="0"/>
              <w:overflowPunct w:val="0"/>
              <w:spacing w:before="71" w:beforeLines="0" w:afterLines="0" w:line="259" w:lineRule="exact"/>
              <w:rPr>
                <w:rFonts w:hint="eastAsia"/>
                <w:sz w:val="21"/>
                <w:szCs w:val="24"/>
              </w:rPr>
            </w:pPr>
            <w:r>
              <w:rPr>
                <w:rFonts w:hint="eastAsia" w:eastAsia="宋体"/>
                <w:spacing w:val="-8"/>
                <w:sz w:val="21"/>
                <w:szCs w:val="24"/>
                <w:lang w:val="en-US" w:eastAsia="zh-CN"/>
              </w:rPr>
              <w:t>无变化</w:t>
            </w:r>
          </w:p>
        </w:tc>
      </w:tr>
    </w:tbl>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bookmarkStart w:id="12" w:name="_Toc25010"/>
      <w:r>
        <w:rPr>
          <w:rFonts w:hint="eastAsia"/>
          <w:b/>
          <w:sz w:val="28"/>
          <w:szCs w:val="20"/>
          <w:lang w:val="en-US" w:eastAsia="zh-CN"/>
        </w:rPr>
        <w:t>3.4</w:t>
      </w:r>
      <w:r>
        <w:rPr>
          <w:rFonts w:hint="eastAsia"/>
          <w:b/>
          <w:sz w:val="28"/>
          <w:szCs w:val="20"/>
        </w:rPr>
        <w:t>工程建设变化情况及说明</w:t>
      </w:r>
      <w:bookmarkEnd w:id="12"/>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84" w:firstLineChars="300"/>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道路工程内容主要包括：水泥路面、桥涵工程、交通设施、绿化等。根据现场踏勘知：</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684" w:firstLineChars="300"/>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lang w:val="en-US" w:eastAsia="zh-CN"/>
        </w:rPr>
        <w:t>（1）道路方面：</w:t>
      </w:r>
      <w:r>
        <w:rPr>
          <w:rFonts w:hint="eastAsia" w:ascii="宋体" w:hAnsi="宋体" w:eastAsia="宋体" w:cs="宋体"/>
          <w:spacing w:val="-6"/>
          <w:sz w:val="24"/>
          <w:szCs w:val="24"/>
          <w:lang w:eastAsia="zh-CN"/>
        </w:rPr>
        <w:t>比较原环评，自贡市富荣产城融合带基础设施建设项目（C、D段）公路路线长度缩短了</w:t>
      </w:r>
      <w:r>
        <w:rPr>
          <w:rFonts w:hint="eastAsia" w:ascii="宋体" w:hAnsi="宋体" w:eastAsia="宋体" w:cs="宋体"/>
          <w:spacing w:val="-6"/>
          <w:sz w:val="24"/>
          <w:szCs w:val="24"/>
          <w:lang w:val="en-US" w:eastAsia="zh-CN"/>
        </w:rPr>
        <w:t>33</w:t>
      </w:r>
      <w:r>
        <w:rPr>
          <w:rFonts w:hint="eastAsia" w:ascii="宋体" w:hAnsi="宋体" w:eastAsia="宋体" w:cs="宋体"/>
          <w:spacing w:val="-6"/>
          <w:sz w:val="24"/>
          <w:szCs w:val="24"/>
          <w:lang w:eastAsia="zh-CN"/>
        </w:rPr>
        <w:t>m；路</w:t>
      </w:r>
      <w:r>
        <w:rPr>
          <w:rFonts w:hint="eastAsia" w:ascii="宋体" w:hAnsi="宋体" w:eastAsia="宋体" w:cs="宋体"/>
          <w:spacing w:val="-6"/>
          <w:sz w:val="24"/>
          <w:szCs w:val="24"/>
          <w:lang w:val="en-US" w:eastAsia="zh-CN"/>
        </w:rPr>
        <w:t>面宽度，路基宽度及车道数没有发生变化。</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84" w:firstLineChars="300"/>
        <w:jc w:val="both"/>
        <w:textAlignment w:val="baseline"/>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eastAsia="zh-CN"/>
        </w:rPr>
        <w:t>(2)桥梁方面：环评中全线有桥梁共新建9座立交桥；对4座已有桥梁进行加宽加固施工；</w:t>
      </w:r>
      <w:r>
        <w:rPr>
          <w:rFonts w:hint="eastAsia" w:ascii="宋体" w:hAnsi="宋体" w:eastAsia="宋体" w:cs="宋体"/>
          <w:spacing w:val="-6"/>
          <w:sz w:val="24"/>
          <w:szCs w:val="24"/>
          <w:lang w:val="en-US" w:eastAsia="zh-CN"/>
        </w:rPr>
        <w:t>实际建设中无变化。</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84" w:firstLineChars="300"/>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lang w:eastAsia="zh-CN"/>
        </w:rPr>
        <w:t>)涵洞方面：环评中全线新建涵洞</w:t>
      </w:r>
      <w:r>
        <w:rPr>
          <w:rFonts w:hint="eastAsia" w:ascii="宋体" w:hAnsi="宋体" w:eastAsia="宋体" w:cs="宋体"/>
          <w:spacing w:val="-6"/>
          <w:sz w:val="24"/>
          <w:szCs w:val="24"/>
          <w:lang w:val="en-US" w:eastAsia="zh-CN"/>
        </w:rPr>
        <w:t>34</w:t>
      </w:r>
      <w:r>
        <w:rPr>
          <w:rFonts w:hint="eastAsia" w:ascii="宋体" w:hAnsi="宋体" w:eastAsia="宋体" w:cs="宋体"/>
          <w:spacing w:val="-6"/>
          <w:sz w:val="24"/>
          <w:szCs w:val="24"/>
          <w:lang w:eastAsia="zh-CN"/>
        </w:rPr>
        <w:t>道，实际工程全线设有</w:t>
      </w:r>
      <w:r>
        <w:rPr>
          <w:rFonts w:hint="eastAsia" w:ascii="宋体" w:hAnsi="宋体" w:eastAsia="宋体" w:cs="宋体"/>
          <w:spacing w:val="-6"/>
          <w:sz w:val="24"/>
          <w:szCs w:val="24"/>
          <w:lang w:val="en-US" w:eastAsia="zh-CN"/>
        </w:rPr>
        <w:t>涵洞21道，比较原环评减少了13道涵洞</w:t>
      </w:r>
      <w:r>
        <w:rPr>
          <w:rFonts w:hint="eastAsia" w:ascii="宋体" w:hAnsi="宋体" w:eastAsia="宋体" w:cs="宋体"/>
          <w:spacing w:val="-6"/>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84" w:firstLineChars="300"/>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(5)</w:t>
      </w:r>
      <w:r>
        <w:rPr>
          <w:rFonts w:hint="eastAsia" w:ascii="宋体" w:hAnsi="宋体" w:eastAsia="宋体" w:cs="宋体"/>
          <w:spacing w:val="-6"/>
          <w:sz w:val="24"/>
          <w:szCs w:val="24"/>
          <w:lang w:val="en-US" w:eastAsia="zh-CN"/>
        </w:rPr>
        <w:t>管廊方面</w:t>
      </w:r>
      <w:r>
        <w:rPr>
          <w:rFonts w:hint="eastAsia" w:ascii="宋体" w:hAnsi="宋体" w:eastAsia="宋体" w:cs="宋体"/>
          <w:spacing w:val="-6"/>
          <w:sz w:val="24"/>
          <w:szCs w:val="24"/>
          <w:lang w:eastAsia="zh-CN"/>
        </w:rPr>
        <w:t>：环评中项目综合管廊工程长度约 10km,；实际</w:t>
      </w:r>
      <w:r>
        <w:rPr>
          <w:rFonts w:hint="eastAsia" w:ascii="宋体" w:hAnsi="宋体" w:eastAsia="宋体" w:cs="宋体"/>
          <w:spacing w:val="-6"/>
          <w:sz w:val="24"/>
          <w:szCs w:val="24"/>
          <w:lang w:val="en-US" w:eastAsia="zh-CN"/>
        </w:rPr>
        <w:t>建设</w:t>
      </w:r>
      <w:r>
        <w:rPr>
          <w:rFonts w:hint="eastAsia" w:ascii="宋体" w:hAnsi="宋体" w:eastAsia="宋体" w:cs="宋体"/>
          <w:spacing w:val="-6"/>
          <w:sz w:val="24"/>
          <w:szCs w:val="24"/>
          <w:lang w:eastAsia="zh-CN"/>
        </w:rPr>
        <w:t xml:space="preserve">综合管廊11199.504米, </w:t>
      </w:r>
      <w:r>
        <w:rPr>
          <w:rFonts w:hint="eastAsia" w:ascii="宋体" w:hAnsi="宋体" w:eastAsia="宋体" w:cs="宋体"/>
          <w:spacing w:val="-6"/>
          <w:sz w:val="24"/>
          <w:szCs w:val="24"/>
          <w:lang w:val="en-US" w:eastAsia="zh-CN"/>
        </w:rPr>
        <w:t>比环评增加了1199.504米</w:t>
      </w:r>
      <w:r>
        <w:rPr>
          <w:rFonts w:hint="eastAsia" w:ascii="宋体" w:hAnsi="宋体" w:eastAsia="宋体" w:cs="宋体"/>
          <w:spacing w:val="-6"/>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84" w:firstLineChars="300"/>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(6)其他实际工程技术指标、主要工程与环评时基本一致。</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84" w:firstLineChars="300"/>
        <w:jc w:val="both"/>
        <w:textAlignment w:val="baseline"/>
        <w:rPr>
          <w:rFonts w:ascii="Arial"/>
          <w:sz w:val="21"/>
        </w:rPr>
      </w:pPr>
      <w:r>
        <w:rPr>
          <w:rFonts w:hint="eastAsia" w:ascii="宋体" w:hAnsi="宋体" w:eastAsia="宋体" w:cs="宋体"/>
          <w:spacing w:val="-6"/>
          <w:sz w:val="24"/>
          <w:szCs w:val="24"/>
          <w:lang w:eastAsia="zh-CN"/>
        </w:rPr>
        <w:t>工程实际建设内容与环评报告中建设内容变更情况及原因见表3.4-1。</w:t>
      </w:r>
    </w:p>
    <w:p>
      <w:pPr>
        <w:spacing w:before="82" w:line="222" w:lineRule="auto"/>
        <w:ind w:left="2323"/>
        <w:rPr>
          <w:rFonts w:ascii="黑体" w:hAnsi="黑体" w:eastAsia="黑体" w:cs="黑体"/>
          <w:sz w:val="25"/>
          <w:szCs w:val="25"/>
        </w:rPr>
      </w:pPr>
      <w:r>
        <w:rPr>
          <w:rFonts w:ascii="黑体" w:hAnsi="黑体" w:eastAsia="黑体" w:cs="黑体"/>
          <w:b/>
          <w:bCs/>
          <w:spacing w:val="-14"/>
          <w:sz w:val="25"/>
          <w:szCs w:val="25"/>
        </w:rPr>
        <w:t>表3.4-1</w:t>
      </w:r>
      <w:r>
        <w:rPr>
          <w:rFonts w:ascii="黑体" w:hAnsi="黑体" w:eastAsia="黑体" w:cs="黑体"/>
          <w:spacing w:val="91"/>
          <w:sz w:val="25"/>
          <w:szCs w:val="25"/>
        </w:rPr>
        <w:t xml:space="preserve"> </w:t>
      </w:r>
      <w:r>
        <w:rPr>
          <w:rFonts w:ascii="黑体" w:hAnsi="黑体" w:eastAsia="黑体" w:cs="黑体"/>
          <w:b/>
          <w:bCs/>
          <w:spacing w:val="-14"/>
          <w:sz w:val="25"/>
          <w:szCs w:val="25"/>
        </w:rPr>
        <w:t>设计、施工变更情况一览表</w:t>
      </w:r>
    </w:p>
    <w:p>
      <w:pPr>
        <w:spacing w:line="79" w:lineRule="exact"/>
      </w:pPr>
    </w:p>
    <w:tbl>
      <w:tblPr>
        <w:tblStyle w:val="17"/>
        <w:tblW w:w="8858"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6152"/>
        <w:gridCol w:w="2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486" w:type="dxa"/>
            <w:tcBorders>
              <w:left w:val="nil"/>
            </w:tcBorders>
            <w:textDirection w:val="tbRlV"/>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序号</w:t>
            </w:r>
          </w:p>
        </w:tc>
        <w:tc>
          <w:tcPr>
            <w:tcW w:w="6152" w:type="dxa"/>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变更内容</w:t>
            </w:r>
          </w:p>
        </w:tc>
        <w:tc>
          <w:tcPr>
            <w:tcW w:w="2220" w:type="dxa"/>
            <w:tcBorders>
              <w:right w:val="nil"/>
            </w:tcBorders>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变更原因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486" w:type="dxa"/>
            <w:tcBorders>
              <w:left w:val="nil"/>
            </w:tcBorders>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1</w:t>
            </w:r>
          </w:p>
        </w:tc>
        <w:tc>
          <w:tcPr>
            <w:tcW w:w="6152" w:type="dxa"/>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路线全长</w:t>
            </w:r>
            <w:r>
              <w:rPr>
                <w:rFonts w:hint="eastAsia" w:ascii="宋体" w:hAnsi="宋体" w:eastAsia="宋体" w:cs="宋体"/>
                <w:spacing w:val="-6"/>
                <w:sz w:val="22"/>
                <w:szCs w:val="22"/>
                <w:lang w:val="en-US" w:eastAsia="zh-CN"/>
              </w:rPr>
              <w:t>24.62k</w:t>
            </w:r>
            <w:r>
              <w:rPr>
                <w:rFonts w:hint="eastAsia" w:ascii="宋体" w:hAnsi="宋体" w:eastAsia="宋体" w:cs="宋体"/>
                <w:spacing w:val="-6"/>
                <w:sz w:val="22"/>
                <w:szCs w:val="22"/>
                <w:lang w:eastAsia="zh-CN"/>
              </w:rPr>
              <w:t>m；较环评时缩短了3</w:t>
            </w:r>
            <w:r>
              <w:rPr>
                <w:rFonts w:hint="eastAsia" w:ascii="宋体" w:hAnsi="宋体" w:eastAsia="宋体" w:cs="宋体"/>
                <w:spacing w:val="-6"/>
                <w:sz w:val="22"/>
                <w:szCs w:val="22"/>
                <w:lang w:val="en-US" w:eastAsia="zh-CN"/>
              </w:rPr>
              <w:t>3</w:t>
            </w:r>
            <w:r>
              <w:rPr>
                <w:rFonts w:hint="eastAsia" w:ascii="宋体" w:hAnsi="宋体" w:eastAsia="宋体" w:cs="宋体"/>
                <w:spacing w:val="-6"/>
                <w:sz w:val="22"/>
                <w:szCs w:val="22"/>
                <w:lang w:eastAsia="zh-CN"/>
              </w:rPr>
              <w:t>m</w:t>
            </w:r>
          </w:p>
        </w:tc>
        <w:tc>
          <w:tcPr>
            <w:tcW w:w="2220" w:type="dxa"/>
            <w:tcBorders>
              <w:right w:val="nil"/>
            </w:tcBorders>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根据实际施工情况进 行了调整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486" w:type="dxa"/>
            <w:tcBorders>
              <w:left w:val="nil"/>
            </w:tcBorders>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2</w:t>
            </w:r>
          </w:p>
        </w:tc>
        <w:tc>
          <w:tcPr>
            <w:tcW w:w="6152" w:type="dxa"/>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val="en-US" w:eastAsia="zh-CN"/>
              </w:rPr>
              <w:t>管廊方面</w:t>
            </w:r>
            <w:r>
              <w:rPr>
                <w:rFonts w:hint="eastAsia" w:ascii="宋体" w:hAnsi="宋体" w:eastAsia="宋体" w:cs="宋体"/>
                <w:spacing w:val="-6"/>
                <w:sz w:val="22"/>
                <w:szCs w:val="22"/>
                <w:lang w:eastAsia="zh-CN"/>
              </w:rPr>
              <w:t>：环评中项目综合管廊工程长度约 10km,；实际</w:t>
            </w:r>
            <w:r>
              <w:rPr>
                <w:rFonts w:hint="eastAsia" w:ascii="宋体" w:hAnsi="宋体" w:eastAsia="宋体" w:cs="宋体"/>
                <w:spacing w:val="-6"/>
                <w:sz w:val="22"/>
                <w:szCs w:val="22"/>
                <w:lang w:val="en-US" w:eastAsia="zh-CN"/>
              </w:rPr>
              <w:t>建设</w:t>
            </w:r>
            <w:r>
              <w:rPr>
                <w:rFonts w:hint="eastAsia" w:ascii="宋体" w:hAnsi="宋体" w:eastAsia="宋体" w:cs="宋体"/>
                <w:spacing w:val="-6"/>
                <w:sz w:val="22"/>
                <w:szCs w:val="22"/>
                <w:lang w:eastAsia="zh-CN"/>
              </w:rPr>
              <w:t xml:space="preserve">综合管廊11199.504米, </w:t>
            </w:r>
            <w:r>
              <w:rPr>
                <w:rFonts w:hint="eastAsia" w:ascii="宋体" w:hAnsi="宋体" w:eastAsia="宋体" w:cs="宋体"/>
                <w:spacing w:val="-6"/>
                <w:sz w:val="22"/>
                <w:szCs w:val="22"/>
                <w:lang w:val="en-US" w:eastAsia="zh-CN"/>
              </w:rPr>
              <w:t>比环评增加了1199.504米</w:t>
            </w:r>
          </w:p>
        </w:tc>
        <w:tc>
          <w:tcPr>
            <w:tcW w:w="2220" w:type="dxa"/>
            <w:tcBorders>
              <w:right w:val="nil"/>
            </w:tcBorders>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根据实际施工情况进 行了调整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486" w:type="dxa"/>
            <w:tcBorders>
              <w:left w:val="nil"/>
            </w:tcBorders>
            <w:vAlign w:val="top"/>
          </w:tcPr>
          <w:p>
            <w:pPr>
              <w:spacing w:before="94" w:line="372" w:lineRule="exact"/>
              <w:ind w:left="135"/>
              <w:jc w:val="left"/>
              <w:rPr>
                <w:rFonts w:hint="eastAsia" w:ascii="宋体" w:hAnsi="宋体" w:eastAsia="宋体" w:cs="宋体"/>
                <w:spacing w:val="-6"/>
                <w:sz w:val="22"/>
                <w:szCs w:val="22"/>
                <w:lang w:eastAsia="zh-CN"/>
              </w:rPr>
            </w:pPr>
          </w:p>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val="en-US" w:eastAsia="zh-CN"/>
              </w:rPr>
              <w:t>3</w:t>
            </w:r>
          </w:p>
        </w:tc>
        <w:tc>
          <w:tcPr>
            <w:tcW w:w="6152" w:type="dxa"/>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环评中全线新建涵洞</w:t>
            </w:r>
            <w:r>
              <w:rPr>
                <w:rFonts w:hint="eastAsia" w:ascii="宋体" w:hAnsi="宋体" w:eastAsia="宋体" w:cs="宋体"/>
                <w:spacing w:val="-6"/>
                <w:sz w:val="22"/>
                <w:szCs w:val="22"/>
                <w:lang w:val="en-US" w:eastAsia="zh-CN"/>
              </w:rPr>
              <w:t>34</w:t>
            </w:r>
            <w:r>
              <w:rPr>
                <w:rFonts w:hint="eastAsia" w:ascii="宋体" w:hAnsi="宋体" w:eastAsia="宋体" w:cs="宋体"/>
                <w:spacing w:val="-6"/>
                <w:sz w:val="22"/>
                <w:szCs w:val="22"/>
                <w:lang w:eastAsia="zh-CN"/>
              </w:rPr>
              <w:t>道，实际工程全线设有</w:t>
            </w:r>
            <w:r>
              <w:rPr>
                <w:rFonts w:hint="eastAsia" w:ascii="宋体" w:hAnsi="宋体" w:eastAsia="宋体" w:cs="宋体"/>
                <w:spacing w:val="-6"/>
                <w:sz w:val="22"/>
                <w:szCs w:val="22"/>
                <w:lang w:val="en-US" w:eastAsia="zh-CN"/>
              </w:rPr>
              <w:t>涵洞21道，比较原环评减少了13道涵洞</w:t>
            </w:r>
            <w:r>
              <w:rPr>
                <w:rFonts w:hint="eastAsia" w:ascii="宋体" w:hAnsi="宋体" w:eastAsia="宋体" w:cs="宋体"/>
                <w:spacing w:val="-6"/>
                <w:sz w:val="22"/>
                <w:szCs w:val="22"/>
                <w:lang w:eastAsia="zh-CN"/>
              </w:rPr>
              <w:t xml:space="preserve"> 。</w:t>
            </w:r>
          </w:p>
        </w:tc>
        <w:tc>
          <w:tcPr>
            <w:tcW w:w="2220" w:type="dxa"/>
            <w:tcBorders>
              <w:right w:val="nil"/>
            </w:tcBorders>
            <w:vAlign w:val="top"/>
          </w:tcPr>
          <w:p>
            <w:pPr>
              <w:spacing w:before="94" w:line="372" w:lineRule="exact"/>
              <w:ind w:left="135"/>
              <w:jc w:val="left"/>
              <w:rPr>
                <w:rFonts w:hint="eastAsia" w:ascii="宋体" w:hAnsi="宋体" w:eastAsia="宋体" w:cs="宋体"/>
                <w:spacing w:val="-6"/>
                <w:sz w:val="22"/>
                <w:szCs w:val="22"/>
                <w:lang w:eastAsia="zh-CN"/>
              </w:rPr>
            </w:pPr>
            <w:r>
              <w:rPr>
                <w:rFonts w:hint="eastAsia" w:ascii="宋体" w:hAnsi="宋体" w:eastAsia="宋体" w:cs="宋体"/>
                <w:spacing w:val="-6"/>
                <w:sz w:val="22"/>
                <w:szCs w:val="22"/>
                <w:lang w:eastAsia="zh-CN"/>
              </w:rPr>
              <w:t>根据实际施工情况进 行了调整</w:t>
            </w:r>
          </w:p>
        </w:tc>
      </w:tr>
    </w:tbl>
    <w:p>
      <w:pPr>
        <w:pStyle w:val="3"/>
        <w:keepNext w:val="0"/>
        <w:keepLines w:val="0"/>
        <w:pageBreakBefore w:val="0"/>
        <w:widowControl/>
        <w:kinsoku w:val="0"/>
        <w:wordWrap/>
        <w:overflowPunct w:val="0"/>
        <w:topLinePunct w:val="0"/>
        <w:autoSpaceDE w:val="0"/>
        <w:autoSpaceDN w:val="0"/>
        <w:bidi w:val="0"/>
        <w:adjustRightInd w:val="0"/>
        <w:snapToGrid w:val="0"/>
        <w:spacing w:after="0" w:line="360" w:lineRule="auto"/>
        <w:ind w:left="0" w:firstLine="573"/>
        <w:contextualSpacing/>
        <w:jc w:val="both"/>
        <w:textAlignment w:val="baseline"/>
        <w:rPr>
          <w:rFonts w:hint="eastAsia" w:ascii="Times New Roman" w:hAnsi="Times New Roman" w:eastAsia="宋体" w:cs="Times New Roman"/>
          <w:color w:val="auto"/>
          <w:lang w:eastAsia="zh-CN"/>
        </w:rPr>
      </w:pPr>
      <w:r>
        <w:rPr>
          <w:rFonts w:hint="default" w:ascii="Times New Roman" w:hAnsi="Times New Roman" w:cs="Times New Roman"/>
          <w:color w:val="auto"/>
        </w:rPr>
        <w:t>据环境保护部下发的《关于印发环评管理中部分行业建设项目重大变动清单的通知》（环办〔2015〕52号）文，本项目参考高速公路建设项目重大变动清单，对项目的基本情况进行了梳理</w:t>
      </w:r>
      <w:r>
        <w:rPr>
          <w:rFonts w:hint="eastAsia" w:ascii="Times New Roman" w:cs="Times New Roman"/>
          <w:color w:val="auto"/>
          <w:lang w:eastAsia="zh-CN"/>
        </w:rPr>
        <w:t>，</w:t>
      </w:r>
      <w:r>
        <w:rPr>
          <w:rFonts w:hint="eastAsia" w:ascii="Times New Roman" w:cs="Times New Roman"/>
          <w:color w:val="auto"/>
          <w:lang w:val="en-US" w:eastAsia="zh-CN"/>
        </w:rPr>
        <w:t>详见下表</w:t>
      </w:r>
      <w:r>
        <w:rPr>
          <w:rFonts w:hint="eastAsia" w:ascii="Times New Roman" w:cs="Times New Roman"/>
          <w:color w:val="auto"/>
          <w:lang w:eastAsia="zh-CN"/>
        </w:rPr>
        <w:t>。</w:t>
      </w:r>
    </w:p>
    <w:p>
      <w:pPr>
        <w:pStyle w:val="25"/>
        <w:bidi w:val="0"/>
        <w:rPr>
          <w:rFonts w:hint="eastAsia" w:cs="Times New Roman"/>
          <w:b/>
          <w:bCs/>
          <w:color w:val="auto"/>
          <w:lang w:eastAsia="zh-CN"/>
        </w:rPr>
      </w:pPr>
      <w:r>
        <w:rPr>
          <w:rFonts w:hint="eastAsia"/>
          <w:color w:val="auto"/>
          <w:lang w:val="en-US" w:eastAsia="zh-CN"/>
        </w:rPr>
        <w:t xml:space="preserve"> </w:t>
      </w:r>
      <w:r>
        <w:rPr>
          <w:rFonts w:hint="default" w:ascii="Times New Roman" w:hAnsi="Times New Roman" w:cs="Times New Roman"/>
          <w:b/>
          <w:bCs/>
          <w:color w:val="auto"/>
        </w:rPr>
        <w:t>高速公路建设项目重大变动清单（环办〔2015〕52号</w:t>
      </w:r>
      <w:r>
        <w:rPr>
          <w:rFonts w:hint="eastAsia" w:cs="Times New Roman"/>
          <w:b/>
          <w:bCs/>
          <w:color w:val="auto"/>
          <w:lang w:eastAsia="zh-CN"/>
        </w:rPr>
        <w:t>）</w:t>
      </w:r>
    </w:p>
    <w:tbl>
      <w:tblPr>
        <w:tblStyle w:val="14"/>
        <w:tblW w:w="510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47"/>
        <w:gridCol w:w="3968"/>
        <w:gridCol w:w="2403"/>
        <w:gridCol w:w="1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97" w:type="pct"/>
            <w:tcBorders>
              <w:tl2br w:val="nil"/>
              <w:tr2bl w:val="nil"/>
            </w:tcBorders>
            <w:noWrap w:val="0"/>
            <w:vAlign w:val="center"/>
          </w:tcPr>
          <w:p>
            <w:pPr>
              <w:pStyle w:val="26"/>
              <w:widowControl w:val="0"/>
              <w:bidi w:val="0"/>
              <w:jc w:val="center"/>
              <w:rPr>
                <w:rFonts w:hint="default"/>
                <w:b/>
                <w:bCs/>
                <w:color w:val="auto"/>
                <w:lang w:val="en-US" w:eastAsia="zh-CN"/>
              </w:rPr>
            </w:pPr>
            <w:r>
              <w:rPr>
                <w:rFonts w:hint="eastAsia"/>
                <w:b/>
                <w:bCs/>
                <w:color w:val="auto"/>
                <w:lang w:val="en-US" w:eastAsia="zh-CN"/>
              </w:rPr>
              <w:t>序号</w:t>
            </w:r>
          </w:p>
        </w:tc>
        <w:tc>
          <w:tcPr>
            <w:tcW w:w="418" w:type="pct"/>
            <w:tcBorders>
              <w:tl2br w:val="nil"/>
              <w:tr2bl w:val="nil"/>
            </w:tcBorders>
            <w:noWrap w:val="0"/>
            <w:vAlign w:val="center"/>
          </w:tcPr>
          <w:p>
            <w:pPr>
              <w:pStyle w:val="26"/>
              <w:widowControl w:val="0"/>
              <w:bidi w:val="0"/>
              <w:jc w:val="center"/>
              <w:rPr>
                <w:rFonts w:hint="default"/>
                <w:b/>
                <w:bCs/>
                <w:color w:val="auto"/>
                <w:lang w:val="en-US" w:eastAsia="zh-CN"/>
              </w:rPr>
            </w:pPr>
            <w:r>
              <w:rPr>
                <w:rFonts w:hint="eastAsia"/>
                <w:b/>
                <w:bCs/>
                <w:color w:val="auto"/>
                <w:lang w:val="en-US" w:eastAsia="zh-CN"/>
              </w:rPr>
              <w:t>分类</w:t>
            </w:r>
          </w:p>
        </w:tc>
        <w:tc>
          <w:tcPr>
            <w:tcW w:w="2222" w:type="pct"/>
            <w:tcBorders>
              <w:tl2br w:val="nil"/>
              <w:tr2bl w:val="nil"/>
            </w:tcBorders>
            <w:noWrap w:val="0"/>
            <w:vAlign w:val="center"/>
          </w:tcPr>
          <w:p>
            <w:pPr>
              <w:pStyle w:val="26"/>
              <w:widowControl w:val="0"/>
              <w:bidi w:val="0"/>
              <w:jc w:val="center"/>
              <w:rPr>
                <w:rFonts w:hint="default"/>
                <w:b/>
                <w:bCs/>
                <w:color w:val="auto"/>
                <w:lang w:val="en-US" w:eastAsia="zh-CN"/>
              </w:rPr>
            </w:pPr>
            <w:r>
              <w:rPr>
                <w:rFonts w:hint="eastAsia"/>
                <w:b/>
                <w:bCs/>
                <w:color w:val="auto"/>
                <w:lang w:val="en-US" w:eastAsia="zh-CN"/>
              </w:rPr>
              <w:t>内容</w:t>
            </w:r>
          </w:p>
        </w:tc>
        <w:tc>
          <w:tcPr>
            <w:tcW w:w="1346" w:type="pct"/>
            <w:tcBorders>
              <w:tl2br w:val="nil"/>
              <w:tr2bl w:val="nil"/>
            </w:tcBorders>
            <w:noWrap w:val="0"/>
            <w:vAlign w:val="center"/>
          </w:tcPr>
          <w:p>
            <w:pPr>
              <w:pStyle w:val="26"/>
              <w:widowControl w:val="0"/>
              <w:bidi w:val="0"/>
              <w:jc w:val="center"/>
              <w:rPr>
                <w:rFonts w:hint="default"/>
                <w:b/>
                <w:bCs/>
                <w:color w:val="auto"/>
                <w:lang w:val="en-US" w:eastAsia="zh-CN"/>
              </w:rPr>
            </w:pPr>
            <w:r>
              <w:rPr>
                <w:rFonts w:hint="eastAsia"/>
                <w:b/>
                <w:bCs/>
                <w:color w:val="auto"/>
                <w:lang w:val="en-US" w:eastAsia="zh-CN"/>
              </w:rPr>
              <w:t>变化情况</w:t>
            </w:r>
          </w:p>
        </w:tc>
        <w:tc>
          <w:tcPr>
            <w:tcW w:w="614" w:type="pct"/>
            <w:tcBorders>
              <w:tl2br w:val="nil"/>
              <w:tr2bl w:val="nil"/>
            </w:tcBorders>
            <w:noWrap w:val="0"/>
            <w:vAlign w:val="center"/>
          </w:tcPr>
          <w:p>
            <w:pPr>
              <w:pStyle w:val="26"/>
              <w:widowControl w:val="0"/>
              <w:bidi w:val="0"/>
              <w:jc w:val="center"/>
              <w:rPr>
                <w:rFonts w:hint="default"/>
                <w:b/>
                <w:bCs/>
                <w:color w:val="auto"/>
                <w:lang w:val="en-US" w:eastAsia="zh-CN"/>
              </w:rPr>
            </w:pPr>
            <w:r>
              <w:rPr>
                <w:rFonts w:hint="eastAsia"/>
                <w:b/>
                <w:bCs/>
                <w:color w:val="auto"/>
                <w:lang w:val="en-US" w:eastAsia="zh-CN"/>
              </w:rPr>
              <w:t>是否属于重大变更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restart"/>
            <w:tcBorders>
              <w:tl2br w:val="nil"/>
              <w:tr2bl w:val="nil"/>
            </w:tcBorders>
            <w:noWrap w:val="0"/>
            <w:vAlign w:val="center"/>
          </w:tcPr>
          <w:p>
            <w:pPr>
              <w:pStyle w:val="26"/>
              <w:widowControl w:val="0"/>
              <w:bidi w:val="0"/>
              <w:jc w:val="center"/>
              <w:rPr>
                <w:rFonts w:hint="default"/>
                <w:color w:val="auto"/>
                <w:lang w:val="en-US" w:eastAsia="zh-CN"/>
              </w:rPr>
            </w:pPr>
            <w:r>
              <w:rPr>
                <w:rFonts w:hint="eastAsia"/>
                <w:color w:val="auto"/>
                <w:lang w:val="en-US" w:eastAsia="zh-CN"/>
              </w:rPr>
              <w:t>1</w:t>
            </w:r>
          </w:p>
        </w:tc>
        <w:tc>
          <w:tcPr>
            <w:tcW w:w="418" w:type="pct"/>
            <w:vMerge w:val="restart"/>
            <w:tcBorders>
              <w:tl2br w:val="nil"/>
              <w:tr2bl w:val="nil"/>
            </w:tcBorders>
            <w:noWrap w:val="0"/>
            <w:vAlign w:val="center"/>
          </w:tcPr>
          <w:p>
            <w:pPr>
              <w:pStyle w:val="26"/>
              <w:widowControl w:val="0"/>
              <w:bidi w:val="0"/>
              <w:jc w:val="center"/>
              <w:rPr>
                <w:rFonts w:hint="default"/>
                <w:color w:val="auto"/>
                <w:lang w:val="en-US" w:eastAsia="zh-CN"/>
              </w:rPr>
            </w:pPr>
            <w:r>
              <w:rPr>
                <w:rFonts w:hint="eastAsia"/>
                <w:color w:val="auto"/>
                <w:lang w:val="en-US" w:eastAsia="zh-CN"/>
              </w:rPr>
              <w:t>规模</w:t>
            </w:r>
          </w:p>
        </w:tc>
        <w:tc>
          <w:tcPr>
            <w:tcW w:w="2222" w:type="pct"/>
            <w:tcBorders>
              <w:tl2br w:val="nil"/>
              <w:tr2bl w:val="nil"/>
            </w:tcBorders>
            <w:noWrap w:val="0"/>
            <w:vAlign w:val="center"/>
          </w:tcPr>
          <w:p>
            <w:pPr>
              <w:pStyle w:val="26"/>
              <w:widowControl w:val="0"/>
              <w:bidi w:val="0"/>
              <w:jc w:val="both"/>
              <w:rPr>
                <w:rFonts w:hint="default"/>
                <w:color w:val="auto"/>
                <w:lang w:val="en-US" w:eastAsia="zh-CN"/>
              </w:rPr>
            </w:pPr>
            <w:r>
              <w:rPr>
                <w:rFonts w:hint="eastAsia"/>
                <w:color w:val="auto"/>
                <w:lang w:val="en-US" w:eastAsia="zh-CN"/>
              </w:rPr>
              <w:t>车道数或设计车速增加</w:t>
            </w:r>
          </w:p>
        </w:tc>
        <w:tc>
          <w:tcPr>
            <w:tcW w:w="1346" w:type="pct"/>
            <w:tcBorders>
              <w:tl2br w:val="nil"/>
              <w:tr2bl w:val="nil"/>
            </w:tcBorders>
            <w:noWrap w:val="0"/>
            <w:vAlign w:val="center"/>
          </w:tcPr>
          <w:p>
            <w:pPr>
              <w:pStyle w:val="26"/>
              <w:widowControl w:val="0"/>
              <w:bidi w:val="0"/>
              <w:jc w:val="center"/>
              <w:rPr>
                <w:rFonts w:hint="default"/>
                <w:color w:val="auto"/>
                <w:lang w:val="en-US" w:eastAsia="zh-CN"/>
              </w:rPr>
            </w:pPr>
            <w:r>
              <w:rPr>
                <w:rFonts w:hint="eastAsia"/>
                <w:color w:val="auto"/>
                <w:lang w:val="en-US" w:eastAsia="zh-CN"/>
              </w:rPr>
              <w:t>无变化</w:t>
            </w:r>
          </w:p>
        </w:tc>
        <w:tc>
          <w:tcPr>
            <w:tcW w:w="614" w:type="pct"/>
            <w:tcBorders>
              <w:tl2br w:val="nil"/>
              <w:tr2bl w:val="nil"/>
            </w:tcBorders>
            <w:noWrap w:val="0"/>
            <w:vAlign w:val="center"/>
          </w:tcPr>
          <w:p>
            <w:pPr>
              <w:pStyle w:val="26"/>
              <w:widowControl w:val="0"/>
              <w:bidi w:val="0"/>
              <w:jc w:val="center"/>
              <w:rPr>
                <w:rFonts w:hint="default"/>
                <w:color w:val="auto"/>
                <w:lang w:val="en-US" w:eastAsia="zh-CN"/>
              </w:rPr>
            </w:pPr>
            <w:r>
              <w:rPr>
                <w:rFonts w:hint="eastAsia"/>
                <w:color w:val="auto"/>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tcBorders>
              <w:tl2br w:val="nil"/>
              <w:tr2bl w:val="nil"/>
            </w:tcBorders>
            <w:noWrap w:val="0"/>
            <w:vAlign w:val="center"/>
          </w:tcPr>
          <w:p>
            <w:pPr>
              <w:pStyle w:val="26"/>
              <w:widowControl w:val="0"/>
              <w:bidi w:val="0"/>
              <w:jc w:val="center"/>
              <w:rPr>
                <w:rFonts w:hint="default"/>
                <w:color w:val="auto"/>
                <w:lang w:val="en-US" w:eastAsia="zh-CN"/>
              </w:rPr>
            </w:pPr>
          </w:p>
        </w:tc>
        <w:tc>
          <w:tcPr>
            <w:tcW w:w="418" w:type="pct"/>
            <w:vMerge w:val="continue"/>
            <w:tcBorders>
              <w:tl2br w:val="nil"/>
              <w:tr2bl w:val="nil"/>
            </w:tcBorders>
            <w:noWrap w:val="0"/>
            <w:vAlign w:val="center"/>
          </w:tcPr>
          <w:p>
            <w:pPr>
              <w:pStyle w:val="26"/>
              <w:widowControl w:val="0"/>
              <w:bidi w:val="0"/>
              <w:jc w:val="center"/>
              <w:rPr>
                <w:rFonts w:hint="eastAsia"/>
                <w:color w:val="auto"/>
                <w:lang w:val="en-US" w:eastAsia="zh-CN"/>
              </w:rPr>
            </w:pPr>
          </w:p>
        </w:tc>
        <w:tc>
          <w:tcPr>
            <w:tcW w:w="2222" w:type="pct"/>
            <w:tcBorders>
              <w:tl2br w:val="nil"/>
              <w:tr2bl w:val="nil"/>
            </w:tcBorders>
            <w:noWrap w:val="0"/>
            <w:vAlign w:val="center"/>
          </w:tcPr>
          <w:p>
            <w:pPr>
              <w:pStyle w:val="26"/>
              <w:widowControl w:val="0"/>
              <w:bidi w:val="0"/>
              <w:jc w:val="both"/>
              <w:rPr>
                <w:rFonts w:hint="eastAsia"/>
                <w:color w:val="auto"/>
                <w:lang w:val="en-US" w:eastAsia="zh-CN"/>
              </w:rPr>
            </w:pPr>
            <w:r>
              <w:rPr>
                <w:rFonts w:hint="default" w:ascii="Times New Roman" w:hAnsi="Times New Roman" w:cs="Times New Roman"/>
                <w:color w:val="auto"/>
                <w:sz w:val="21"/>
                <w:szCs w:val="21"/>
              </w:rPr>
              <w:t>线路长度增加30%及以上</w:t>
            </w:r>
          </w:p>
        </w:tc>
        <w:tc>
          <w:tcPr>
            <w:tcW w:w="1346" w:type="pct"/>
            <w:tcBorders>
              <w:tl2br w:val="nil"/>
              <w:tr2bl w:val="nil"/>
            </w:tcBorders>
            <w:noWrap w:val="0"/>
            <w:vAlign w:val="center"/>
          </w:tcPr>
          <w:p>
            <w:pPr>
              <w:pStyle w:val="26"/>
              <w:widowControl w:val="0"/>
              <w:bidi w:val="0"/>
              <w:jc w:val="center"/>
              <w:rPr>
                <w:rFonts w:hint="eastAsia"/>
                <w:color w:val="auto"/>
                <w:lang w:val="en-US" w:eastAsia="zh-CN"/>
              </w:rPr>
            </w:pPr>
            <w:r>
              <w:rPr>
                <w:rFonts w:hint="eastAsia"/>
                <w:color w:val="auto"/>
                <w:lang w:val="en-US" w:eastAsia="zh-CN"/>
              </w:rPr>
              <w:t>线路长度减少</w:t>
            </w:r>
          </w:p>
        </w:tc>
        <w:tc>
          <w:tcPr>
            <w:tcW w:w="614" w:type="pct"/>
            <w:tcBorders>
              <w:tl2br w:val="nil"/>
              <w:tr2bl w:val="nil"/>
            </w:tcBorders>
            <w:noWrap w:val="0"/>
            <w:vAlign w:val="center"/>
          </w:tcPr>
          <w:p>
            <w:pPr>
              <w:pStyle w:val="26"/>
              <w:widowControl w:val="0"/>
              <w:bidi w:val="0"/>
              <w:ind w:firstLine="0" w:firstLineChars="0"/>
              <w:jc w:val="center"/>
              <w:rPr>
                <w:rFonts w:hint="eastAsia"/>
                <w:color w:val="auto"/>
                <w:lang w:val="en-US" w:eastAsia="zh-CN"/>
              </w:rPr>
            </w:pPr>
            <w:r>
              <w:rPr>
                <w:rFonts w:hint="eastAsia"/>
                <w:color w:val="auto"/>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restart"/>
            <w:tcBorders>
              <w:tl2br w:val="nil"/>
              <w:tr2bl w:val="nil"/>
            </w:tcBorders>
            <w:noWrap w:val="0"/>
            <w:vAlign w:val="center"/>
          </w:tcPr>
          <w:p>
            <w:pPr>
              <w:pStyle w:val="26"/>
              <w:widowControl w:val="0"/>
              <w:bidi w:val="0"/>
              <w:jc w:val="center"/>
              <w:rPr>
                <w:rFonts w:hint="default"/>
                <w:color w:val="auto"/>
                <w:lang w:val="en-US" w:eastAsia="zh-CN"/>
              </w:rPr>
            </w:pPr>
            <w:r>
              <w:rPr>
                <w:rFonts w:hint="eastAsia"/>
                <w:color w:val="auto"/>
                <w:lang w:val="en-US" w:eastAsia="zh-CN"/>
              </w:rPr>
              <w:t>2</w:t>
            </w:r>
          </w:p>
        </w:tc>
        <w:tc>
          <w:tcPr>
            <w:tcW w:w="418" w:type="pct"/>
            <w:vMerge w:val="restart"/>
            <w:tcBorders>
              <w:tl2br w:val="nil"/>
              <w:tr2bl w:val="nil"/>
            </w:tcBorders>
            <w:noWrap w:val="0"/>
            <w:vAlign w:val="center"/>
          </w:tcPr>
          <w:p>
            <w:pPr>
              <w:pStyle w:val="26"/>
              <w:widowControl w:val="0"/>
              <w:bidi w:val="0"/>
              <w:jc w:val="center"/>
              <w:rPr>
                <w:rFonts w:hint="default"/>
                <w:color w:val="auto"/>
                <w:lang w:val="en-US" w:eastAsia="zh-CN"/>
              </w:rPr>
            </w:pPr>
            <w:r>
              <w:rPr>
                <w:rFonts w:hint="eastAsia"/>
                <w:color w:val="auto"/>
                <w:lang w:val="en-US" w:eastAsia="zh-CN"/>
              </w:rPr>
              <w:t>地点</w:t>
            </w:r>
          </w:p>
        </w:tc>
        <w:tc>
          <w:tcPr>
            <w:tcW w:w="2222" w:type="pct"/>
            <w:tcBorders>
              <w:tl2br w:val="nil"/>
              <w:tr2bl w:val="nil"/>
            </w:tcBorders>
            <w:noWrap w:val="0"/>
            <w:vAlign w:val="center"/>
          </w:tcPr>
          <w:p>
            <w:pPr>
              <w:widowControl w:val="0"/>
              <w:spacing w:line="240" w:lineRule="exact"/>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线路横向位移超出200米的长度累计达到原线路长度的30%及以上</w:t>
            </w:r>
          </w:p>
        </w:tc>
        <w:tc>
          <w:tcPr>
            <w:tcW w:w="1346" w:type="pct"/>
            <w:tcBorders>
              <w:tl2br w:val="nil"/>
              <w:tr2bl w:val="nil"/>
            </w:tcBorders>
            <w:noWrap w:val="0"/>
            <w:vAlign w:val="center"/>
          </w:tcPr>
          <w:p>
            <w:pPr>
              <w:pStyle w:val="26"/>
              <w:widowControl w:val="0"/>
              <w:bidi w:val="0"/>
              <w:ind w:firstLine="0" w:firstLineChars="0"/>
              <w:jc w:val="center"/>
              <w:rPr>
                <w:rFonts w:hint="eastAsia"/>
                <w:color w:val="auto"/>
                <w:lang w:val="en-US" w:eastAsia="zh-CN"/>
              </w:rPr>
            </w:pPr>
            <w:r>
              <w:rPr>
                <w:rFonts w:hint="eastAsia"/>
                <w:color w:val="auto"/>
                <w:lang w:val="en-US" w:eastAsia="zh-CN"/>
              </w:rPr>
              <w:t>无变化</w:t>
            </w:r>
          </w:p>
        </w:tc>
        <w:tc>
          <w:tcPr>
            <w:tcW w:w="614" w:type="pct"/>
            <w:tcBorders>
              <w:tl2br w:val="nil"/>
              <w:tr2bl w:val="nil"/>
            </w:tcBorders>
            <w:noWrap w:val="0"/>
            <w:vAlign w:val="center"/>
          </w:tcPr>
          <w:p>
            <w:pPr>
              <w:pStyle w:val="26"/>
              <w:widowControl w:val="0"/>
              <w:bidi w:val="0"/>
              <w:ind w:firstLine="0" w:firstLineChars="0"/>
              <w:jc w:val="center"/>
              <w:rPr>
                <w:rFonts w:hint="eastAsia"/>
                <w:color w:val="auto"/>
                <w:lang w:val="en-US" w:eastAsia="zh-CN"/>
              </w:rPr>
            </w:pPr>
            <w:r>
              <w:rPr>
                <w:rFonts w:hint="eastAsia"/>
                <w:color w:val="auto"/>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tcBorders>
              <w:tl2br w:val="nil"/>
              <w:tr2bl w:val="nil"/>
            </w:tcBorders>
            <w:noWrap w:val="0"/>
            <w:vAlign w:val="center"/>
          </w:tcPr>
          <w:p>
            <w:pPr>
              <w:pStyle w:val="26"/>
              <w:widowControl w:val="0"/>
              <w:bidi w:val="0"/>
              <w:jc w:val="center"/>
              <w:rPr>
                <w:rFonts w:hint="default"/>
                <w:color w:val="auto"/>
                <w:lang w:val="en-US" w:eastAsia="zh-CN"/>
              </w:rPr>
            </w:pPr>
          </w:p>
        </w:tc>
        <w:tc>
          <w:tcPr>
            <w:tcW w:w="418" w:type="pct"/>
            <w:vMerge w:val="continue"/>
            <w:tcBorders>
              <w:tl2br w:val="nil"/>
              <w:tr2bl w:val="nil"/>
            </w:tcBorders>
            <w:noWrap w:val="0"/>
            <w:vAlign w:val="center"/>
          </w:tcPr>
          <w:p>
            <w:pPr>
              <w:pStyle w:val="26"/>
              <w:widowControl w:val="0"/>
              <w:bidi w:val="0"/>
              <w:jc w:val="center"/>
              <w:rPr>
                <w:rFonts w:hint="eastAsia"/>
                <w:color w:val="auto"/>
                <w:lang w:val="en-US" w:eastAsia="zh-CN"/>
              </w:rPr>
            </w:pPr>
          </w:p>
        </w:tc>
        <w:tc>
          <w:tcPr>
            <w:tcW w:w="2222" w:type="pct"/>
            <w:tcBorders>
              <w:tl2br w:val="nil"/>
              <w:tr2bl w:val="nil"/>
            </w:tcBorders>
            <w:noWrap w:val="0"/>
            <w:vAlign w:val="center"/>
          </w:tcPr>
          <w:p>
            <w:pPr>
              <w:widowControl w:val="0"/>
              <w:spacing w:line="240" w:lineRule="exact"/>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工程线路、服务区等附属设施或特大桥、特长隧道等发生变化，导致评价范围内出现新的自然保护区、风景名胜区、饮用水水源保护区等生态敏感区，或导致出现新的城市规划区和建成区</w:t>
            </w:r>
          </w:p>
        </w:tc>
        <w:tc>
          <w:tcPr>
            <w:tcW w:w="1346" w:type="pct"/>
            <w:tcBorders>
              <w:tl2br w:val="nil"/>
              <w:tr2bl w:val="nil"/>
            </w:tcBorders>
            <w:noWrap w:val="0"/>
            <w:vAlign w:val="center"/>
          </w:tcPr>
          <w:p>
            <w:pPr>
              <w:pStyle w:val="26"/>
              <w:widowControl w:val="0"/>
              <w:bidi w:val="0"/>
              <w:ind w:firstLine="0" w:firstLineChars="0"/>
              <w:jc w:val="center"/>
              <w:rPr>
                <w:rFonts w:hint="eastAsia"/>
                <w:color w:val="auto"/>
                <w:lang w:val="en-US" w:eastAsia="zh-CN"/>
              </w:rPr>
            </w:pPr>
            <w:r>
              <w:rPr>
                <w:rFonts w:hint="eastAsia"/>
                <w:color w:val="auto"/>
                <w:lang w:val="en-US" w:eastAsia="zh-CN"/>
              </w:rPr>
              <w:t>无变化</w:t>
            </w:r>
          </w:p>
        </w:tc>
        <w:tc>
          <w:tcPr>
            <w:tcW w:w="614" w:type="pct"/>
            <w:tcBorders>
              <w:tl2br w:val="nil"/>
              <w:tr2bl w:val="nil"/>
            </w:tcBorders>
            <w:noWrap w:val="0"/>
            <w:vAlign w:val="center"/>
          </w:tcPr>
          <w:p>
            <w:pPr>
              <w:pStyle w:val="26"/>
              <w:widowControl w:val="0"/>
              <w:bidi w:val="0"/>
              <w:ind w:firstLine="0" w:firstLineChars="0"/>
              <w:jc w:val="center"/>
              <w:rPr>
                <w:rFonts w:hint="eastAsia"/>
                <w:color w:val="auto"/>
                <w:lang w:val="en-US" w:eastAsia="zh-CN"/>
              </w:rPr>
            </w:pPr>
            <w:r>
              <w:rPr>
                <w:rFonts w:hint="eastAsia"/>
                <w:color w:val="auto"/>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tcBorders>
              <w:tl2br w:val="nil"/>
              <w:tr2bl w:val="nil"/>
            </w:tcBorders>
            <w:noWrap w:val="0"/>
            <w:vAlign w:val="center"/>
          </w:tcPr>
          <w:p>
            <w:pPr>
              <w:pStyle w:val="26"/>
              <w:widowControl w:val="0"/>
              <w:bidi w:val="0"/>
              <w:jc w:val="center"/>
              <w:rPr>
                <w:rFonts w:hint="default"/>
                <w:color w:val="auto"/>
                <w:lang w:val="en-US" w:eastAsia="zh-CN"/>
              </w:rPr>
            </w:pPr>
          </w:p>
        </w:tc>
        <w:tc>
          <w:tcPr>
            <w:tcW w:w="418" w:type="pct"/>
            <w:vMerge w:val="continue"/>
            <w:tcBorders>
              <w:tl2br w:val="nil"/>
              <w:tr2bl w:val="nil"/>
            </w:tcBorders>
            <w:noWrap w:val="0"/>
            <w:vAlign w:val="center"/>
          </w:tcPr>
          <w:p>
            <w:pPr>
              <w:pStyle w:val="26"/>
              <w:widowControl w:val="0"/>
              <w:bidi w:val="0"/>
              <w:jc w:val="center"/>
              <w:rPr>
                <w:rFonts w:hint="eastAsia"/>
                <w:color w:val="auto"/>
                <w:lang w:val="en-US" w:eastAsia="zh-CN"/>
              </w:rPr>
            </w:pPr>
          </w:p>
        </w:tc>
        <w:tc>
          <w:tcPr>
            <w:tcW w:w="2222" w:type="pct"/>
            <w:tcBorders>
              <w:tl2br w:val="nil"/>
              <w:tr2bl w:val="nil"/>
            </w:tcBorders>
            <w:noWrap w:val="0"/>
            <w:vAlign w:val="center"/>
          </w:tcPr>
          <w:p>
            <w:pPr>
              <w:widowControl w:val="0"/>
              <w:spacing w:line="240" w:lineRule="exact"/>
              <w:ind w:left="0" w:leftChars="0" w:firstLine="0" w:firstLineChars="0"/>
              <w:jc w:val="both"/>
              <w:rPr>
                <w:rFonts w:hint="eastAsia"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FF"/>
                <w:sz w:val="21"/>
                <w:szCs w:val="21"/>
              </w:rPr>
              <w:t>项目变动导致新增声环境敏感点数量累计达到原敏感点数量的30%及以上</w:t>
            </w:r>
          </w:p>
        </w:tc>
        <w:tc>
          <w:tcPr>
            <w:tcW w:w="1346" w:type="pct"/>
            <w:tcBorders>
              <w:tl2br w:val="nil"/>
              <w:tr2bl w:val="nil"/>
            </w:tcBorders>
            <w:noWrap w:val="0"/>
            <w:vAlign w:val="center"/>
          </w:tcPr>
          <w:p>
            <w:pPr>
              <w:pStyle w:val="26"/>
              <w:widowControl w:val="0"/>
              <w:bidi w:val="0"/>
              <w:jc w:val="center"/>
              <w:rPr>
                <w:rFonts w:hint="default"/>
                <w:color w:val="0000FF"/>
                <w:lang w:val="en-US" w:eastAsia="zh-CN"/>
              </w:rPr>
            </w:pPr>
            <w:r>
              <w:rPr>
                <w:rFonts w:hint="eastAsia"/>
                <w:color w:val="0000FF"/>
                <w:lang w:val="en-US" w:eastAsia="zh-CN"/>
              </w:rPr>
              <w:t>公路整体线路未发生变动，D段敏感点增加属于后期城市规划建设小区，不属于公路变动导致的敏感点增加</w:t>
            </w:r>
          </w:p>
        </w:tc>
        <w:tc>
          <w:tcPr>
            <w:tcW w:w="614" w:type="pct"/>
            <w:tcBorders>
              <w:tl2br w:val="nil"/>
              <w:tr2bl w:val="nil"/>
            </w:tcBorders>
            <w:noWrap w:val="0"/>
            <w:vAlign w:val="center"/>
          </w:tcPr>
          <w:p>
            <w:pPr>
              <w:pStyle w:val="26"/>
              <w:widowControl w:val="0"/>
              <w:bidi w:val="0"/>
              <w:ind w:firstLine="0" w:firstLineChars="0"/>
              <w:jc w:val="center"/>
              <w:rPr>
                <w:rFonts w:hint="eastAsia"/>
                <w:color w:val="0000FF"/>
                <w:lang w:val="en-US" w:eastAsia="zh-CN"/>
              </w:rPr>
            </w:pPr>
            <w:r>
              <w:rPr>
                <w:rFonts w:hint="eastAsia"/>
                <w:color w:val="0000FF"/>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tcBorders>
              <w:tl2br w:val="nil"/>
              <w:tr2bl w:val="nil"/>
            </w:tcBorders>
            <w:noWrap w:val="0"/>
            <w:vAlign w:val="center"/>
          </w:tcPr>
          <w:p>
            <w:pPr>
              <w:pStyle w:val="26"/>
              <w:widowControl w:val="0"/>
              <w:bidi w:val="0"/>
              <w:jc w:val="center"/>
              <w:rPr>
                <w:rFonts w:hint="default"/>
                <w:color w:val="auto"/>
                <w:lang w:val="en-US" w:eastAsia="zh-CN"/>
              </w:rPr>
            </w:pPr>
            <w:r>
              <w:rPr>
                <w:rFonts w:hint="eastAsia"/>
                <w:color w:val="auto"/>
                <w:lang w:val="en-US" w:eastAsia="zh-CN"/>
              </w:rPr>
              <w:t>3</w:t>
            </w:r>
          </w:p>
        </w:tc>
        <w:tc>
          <w:tcPr>
            <w:tcW w:w="418" w:type="pct"/>
            <w:tcBorders>
              <w:tl2br w:val="nil"/>
              <w:tr2bl w:val="nil"/>
            </w:tcBorders>
            <w:noWrap w:val="0"/>
            <w:vAlign w:val="center"/>
          </w:tcPr>
          <w:p>
            <w:pPr>
              <w:pStyle w:val="26"/>
              <w:widowControl w:val="0"/>
              <w:bidi w:val="0"/>
              <w:jc w:val="center"/>
              <w:rPr>
                <w:rFonts w:hint="default"/>
                <w:color w:val="auto"/>
                <w:lang w:val="en-US" w:eastAsia="zh-CN"/>
              </w:rPr>
            </w:pPr>
            <w:r>
              <w:rPr>
                <w:rFonts w:hint="eastAsia"/>
                <w:color w:val="auto"/>
                <w:lang w:val="en-US" w:eastAsia="zh-CN"/>
              </w:rPr>
              <w:t>环境保护措施</w:t>
            </w:r>
          </w:p>
        </w:tc>
        <w:tc>
          <w:tcPr>
            <w:tcW w:w="2222" w:type="pct"/>
            <w:tcBorders>
              <w:tl2br w:val="nil"/>
              <w:tr2bl w:val="nil"/>
            </w:tcBorders>
            <w:noWrap w:val="0"/>
            <w:vAlign w:val="center"/>
          </w:tcPr>
          <w:p>
            <w:pPr>
              <w:pStyle w:val="26"/>
              <w:widowControl w:val="0"/>
              <w:bidi w:val="0"/>
              <w:jc w:val="both"/>
              <w:rPr>
                <w:rFonts w:hint="eastAsia"/>
                <w:color w:val="auto"/>
                <w:lang w:val="en-US" w:eastAsia="zh-CN"/>
              </w:rPr>
            </w:pPr>
            <w:r>
              <w:rPr>
                <w:rFonts w:hint="default" w:ascii="Times New Roman" w:hAnsi="Times New Roman" w:cs="Times New Roman"/>
                <w:color w:val="auto"/>
                <w:sz w:val="21"/>
                <w:szCs w:val="21"/>
              </w:rPr>
              <w:t>取消具有野生动物迁徙通道功能和水源涵养功能的桥梁，噪声污染防治措施等主要环境保护措施弱化或降低</w:t>
            </w:r>
          </w:p>
        </w:tc>
        <w:tc>
          <w:tcPr>
            <w:tcW w:w="1346" w:type="pct"/>
            <w:tcBorders>
              <w:tl2br w:val="nil"/>
              <w:tr2bl w:val="nil"/>
            </w:tcBorders>
            <w:noWrap w:val="0"/>
            <w:vAlign w:val="center"/>
          </w:tcPr>
          <w:p>
            <w:pPr>
              <w:pStyle w:val="26"/>
              <w:widowControl w:val="0"/>
              <w:bidi w:val="0"/>
              <w:rPr>
                <w:rFonts w:hint="eastAsia"/>
                <w:color w:val="auto"/>
                <w:lang w:val="en-US" w:eastAsia="zh-CN"/>
              </w:rPr>
            </w:pPr>
            <w:r>
              <w:rPr>
                <w:rFonts w:hint="eastAsia"/>
                <w:color w:val="auto"/>
                <w:lang w:val="en-US" w:eastAsia="zh-CN"/>
              </w:rPr>
              <w:t>无</w:t>
            </w:r>
            <w:r>
              <w:rPr>
                <w:rFonts w:hint="default"/>
                <w:color w:val="auto"/>
              </w:rPr>
              <w:t>变化</w:t>
            </w:r>
          </w:p>
        </w:tc>
        <w:tc>
          <w:tcPr>
            <w:tcW w:w="614" w:type="pct"/>
            <w:tcBorders>
              <w:tl2br w:val="nil"/>
              <w:tr2bl w:val="nil"/>
            </w:tcBorders>
            <w:noWrap w:val="0"/>
            <w:vAlign w:val="center"/>
          </w:tcPr>
          <w:p>
            <w:pPr>
              <w:pStyle w:val="26"/>
              <w:widowControl w:val="0"/>
              <w:bidi w:val="0"/>
              <w:rPr>
                <w:rFonts w:hint="eastAsia"/>
                <w:color w:val="auto"/>
                <w:lang w:val="en-US" w:eastAsia="zh-CN"/>
              </w:rPr>
            </w:pPr>
            <w:r>
              <w:rPr>
                <w:rFonts w:hint="default"/>
                <w:color w:val="auto"/>
                <w:lang w:val="en-US" w:eastAsia="zh-CN"/>
              </w:rPr>
              <w:t>否</w:t>
            </w:r>
          </w:p>
        </w:tc>
      </w:tr>
    </w:tbl>
    <w:p>
      <w:pPr>
        <w:pStyle w:val="3"/>
        <w:kinsoku w:val="0"/>
        <w:overflowPunct w:val="0"/>
        <w:spacing w:line="360" w:lineRule="auto"/>
        <w:ind w:left="0" w:firstLine="479"/>
        <w:contextualSpacing/>
        <w:jc w:val="both"/>
        <w:rPr>
          <w:rFonts w:hint="default"/>
          <w:color w:val="auto"/>
          <w:lang w:val="en-US" w:eastAsia="zh-CN"/>
        </w:rPr>
      </w:pPr>
      <w:r>
        <w:rPr>
          <w:rFonts w:hint="default" w:ascii="Times New Roman" w:hAnsi="Times New Roman" w:cs="Times New Roman"/>
          <w:color w:val="auto"/>
        </w:rPr>
        <w:t>综上，本</w:t>
      </w:r>
      <w:r>
        <w:rPr>
          <w:rFonts w:hint="eastAsia" w:ascii="Times New Roman" w:hAnsi="Times New Roman" w:cs="Times New Roman"/>
          <w:color w:val="auto"/>
          <w:lang w:eastAsia="zh-CN"/>
        </w:rPr>
        <w:t>次验收道路</w:t>
      </w:r>
      <w:r>
        <w:rPr>
          <w:rFonts w:hint="default" w:ascii="Times New Roman" w:hAnsi="Times New Roman" w:cs="Times New Roman"/>
          <w:color w:val="auto"/>
        </w:rPr>
        <w:t>在实际建设过程中，路线总体走向与环评基本一致，建设规模、地点和环境保护措施未发生重大变化，不属于重大变更。</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rPr>
      </w:pPr>
      <w:bookmarkStart w:id="13" w:name="_Toc1901"/>
      <w:r>
        <w:rPr>
          <w:rFonts w:hint="eastAsia"/>
          <w:b/>
          <w:sz w:val="28"/>
          <w:szCs w:val="20"/>
        </w:rPr>
        <w:t>3.5 车流量分析</w:t>
      </w:r>
      <w:bookmarkEnd w:id="13"/>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rPr>
      </w:pPr>
      <w:r>
        <w:rPr>
          <w:rFonts w:hint="eastAsia"/>
          <w:b/>
          <w:sz w:val="24"/>
          <w:szCs w:val="18"/>
        </w:rPr>
        <w:t>3.5.1 预测交通量</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ascii="宋体" w:hAnsi="宋体" w:eastAsia="宋体" w:cs="宋体"/>
          <w:b w:val="0"/>
          <w:bCs/>
          <w:sz w:val="24"/>
          <w:szCs w:val="24"/>
        </w:rPr>
      </w:pPr>
      <w:r>
        <w:rPr>
          <w:rFonts w:ascii="宋体" w:hAnsi="宋体" w:eastAsia="宋体" w:cs="宋体"/>
          <w:b w:val="0"/>
          <w:bCs/>
          <w:spacing w:val="-10"/>
          <w:sz w:val="24"/>
          <w:szCs w:val="24"/>
        </w:rPr>
        <w:t>根据道路工程的环境影响</w:t>
      </w:r>
      <w:r>
        <w:rPr>
          <w:rFonts w:hint="eastAsia" w:ascii="宋体" w:hAnsi="宋体" w:eastAsia="宋体" w:cs="宋体"/>
          <w:b w:val="0"/>
          <w:bCs/>
          <w:spacing w:val="-10"/>
          <w:sz w:val="24"/>
          <w:szCs w:val="24"/>
          <w:lang w:eastAsia="zh-CN"/>
        </w:rPr>
        <w:t>报告表</w:t>
      </w:r>
      <w:r>
        <w:rPr>
          <w:rFonts w:ascii="宋体" w:hAnsi="宋体" w:eastAsia="宋体" w:cs="宋体"/>
          <w:b w:val="0"/>
          <w:bCs/>
          <w:spacing w:val="-10"/>
          <w:sz w:val="24"/>
          <w:szCs w:val="24"/>
        </w:rPr>
        <w:t>，交通量预测详见表3.5-</w:t>
      </w:r>
      <w:r>
        <w:rPr>
          <w:rFonts w:ascii="宋体" w:hAnsi="宋体" w:eastAsia="宋体" w:cs="宋体"/>
          <w:b w:val="0"/>
          <w:bCs/>
          <w:spacing w:val="-11"/>
          <w:sz w:val="24"/>
          <w:szCs w:val="24"/>
        </w:rPr>
        <w:t>1。</w:t>
      </w:r>
    </w:p>
    <w:p>
      <w:pPr>
        <w:keepNext w:val="0"/>
        <w:keepLines w:val="0"/>
        <w:pageBreakBefore w:val="0"/>
        <w:widowControl/>
        <w:kinsoku w:val="0"/>
        <w:wordWrap/>
        <w:overflowPunct/>
        <w:topLinePunct w:val="0"/>
        <w:autoSpaceDE w:val="0"/>
        <w:autoSpaceDN w:val="0"/>
        <w:bidi w:val="0"/>
        <w:adjustRightInd w:val="0"/>
        <w:snapToGrid w:val="0"/>
        <w:spacing w:line="222" w:lineRule="auto"/>
        <w:ind w:left="0" w:right="0"/>
        <w:jc w:val="center"/>
        <w:textAlignment w:val="baseline"/>
        <w:rPr>
          <w:rFonts w:ascii="黑体" w:hAnsi="黑体" w:eastAsia="黑体" w:cs="黑体"/>
          <w:b/>
          <w:bCs/>
          <w:spacing w:val="-5"/>
          <w:sz w:val="24"/>
          <w:szCs w:val="24"/>
        </w:rPr>
      </w:pPr>
      <w:r>
        <w:rPr>
          <w:rFonts w:ascii="黑体" w:hAnsi="黑体" w:eastAsia="黑体" w:cs="黑体"/>
          <w:b/>
          <w:bCs/>
          <w:spacing w:val="-5"/>
          <w:sz w:val="24"/>
          <w:szCs w:val="24"/>
        </w:rPr>
        <w:t>表3.5-1 道路工程各预测年限车流量及车辆车型情况一览表</w:t>
      </w:r>
    </w:p>
    <w:p>
      <w:pPr>
        <w:spacing w:line="81" w:lineRule="exact"/>
      </w:pPr>
    </w:p>
    <w:tbl>
      <w:tblPr>
        <w:tblStyle w:val="13"/>
        <w:tblW w:w="87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77"/>
        <w:gridCol w:w="1973"/>
        <w:gridCol w:w="1594"/>
        <w:gridCol w:w="1595"/>
        <w:gridCol w:w="15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0"/>
                <w:rFonts w:hint="eastAsia" w:ascii="宋体" w:hAnsi="宋体" w:eastAsia="宋体" w:cs="宋体"/>
                <w:snapToGrid w:val="0"/>
                <w:color w:val="000000"/>
                <w:sz w:val="21"/>
                <w:szCs w:val="21"/>
                <w:lang w:val="en-US" w:eastAsia="zh-CN" w:bidi="ar"/>
              </w:rPr>
              <w:t>项目</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0"/>
                <w:rFonts w:hint="eastAsia" w:ascii="宋体" w:hAnsi="宋体" w:eastAsia="宋体" w:cs="宋体"/>
                <w:snapToGrid w:val="0"/>
                <w:color w:val="000000"/>
                <w:sz w:val="21"/>
                <w:szCs w:val="21"/>
                <w:lang w:val="en-US" w:eastAsia="zh-CN" w:bidi="ar"/>
              </w:rPr>
              <w:t>预测年限</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0"/>
                <w:rFonts w:hint="eastAsia" w:ascii="宋体" w:hAnsi="宋体" w:eastAsia="宋体" w:cs="宋体"/>
                <w:snapToGrid w:val="0"/>
                <w:color w:val="000000"/>
                <w:sz w:val="21"/>
                <w:szCs w:val="21"/>
                <w:lang w:val="en-US" w:eastAsia="zh-CN" w:bidi="ar"/>
              </w:rPr>
              <w:t>2021年</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0"/>
                <w:rFonts w:hint="eastAsia" w:ascii="宋体" w:hAnsi="宋体" w:eastAsia="宋体" w:cs="宋体"/>
                <w:snapToGrid w:val="0"/>
                <w:color w:val="000000"/>
                <w:sz w:val="21"/>
                <w:szCs w:val="21"/>
                <w:lang w:val="en-US" w:eastAsia="zh-CN" w:bidi="ar"/>
              </w:rPr>
              <w:t>2027年</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0"/>
                <w:rFonts w:hint="eastAsia" w:ascii="宋体" w:hAnsi="宋体" w:eastAsia="宋体" w:cs="宋体"/>
                <w:snapToGrid w:val="0"/>
                <w:color w:val="000000"/>
                <w:sz w:val="21"/>
                <w:szCs w:val="21"/>
                <w:lang w:val="en-US" w:eastAsia="zh-CN" w:bidi="ar"/>
              </w:rPr>
              <w:t>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Style w:val="22"/>
                <w:rFonts w:hint="eastAsia" w:ascii="宋体" w:hAnsi="宋体" w:eastAsia="宋体" w:cs="宋体"/>
                <w:snapToGrid w:val="0"/>
                <w:color w:val="000000"/>
                <w:sz w:val="21"/>
                <w:szCs w:val="21"/>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C 段</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交通流量(辆/日)</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17433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24267</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30953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车型比(%)</w:t>
            </w:r>
          </w:p>
        </w:tc>
        <w:tc>
          <w:tcPr>
            <w:tcW w:w="4787"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大型车：中型车：小型车=10:22:68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昼夜比(%)</w:t>
            </w:r>
          </w:p>
        </w:tc>
        <w:tc>
          <w:tcPr>
            <w:tcW w:w="4787"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Style w:val="22"/>
                <w:rFonts w:hint="eastAsia" w:ascii="宋体" w:hAnsi="宋体" w:eastAsia="宋体" w:cs="宋体"/>
                <w:snapToGrid w:val="0"/>
                <w:color w:val="000000"/>
                <w:sz w:val="21"/>
                <w:szCs w:val="21"/>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D 段</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交通流量(辆/日)</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19693</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25575</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32340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车型比(%)</w:t>
            </w:r>
          </w:p>
        </w:tc>
        <w:tc>
          <w:tcPr>
            <w:tcW w:w="4787"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大型车：中型车：小型车=7:18:75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昼夜比(%)</w:t>
            </w:r>
          </w:p>
        </w:tc>
        <w:tc>
          <w:tcPr>
            <w:tcW w:w="4787"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6:1</w:t>
            </w:r>
          </w:p>
        </w:tc>
      </w:tr>
    </w:tbl>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r>
        <w:rPr>
          <w:rFonts w:hint="eastAsia"/>
          <w:b/>
          <w:sz w:val="24"/>
          <w:szCs w:val="18"/>
        </w:rPr>
        <w:t>3.5.2 实际交通量</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ascii="宋体" w:hAnsi="宋体" w:eastAsia="宋体" w:cs="宋体"/>
          <w:b w:val="0"/>
          <w:bCs/>
          <w:spacing w:val="-10"/>
          <w:sz w:val="24"/>
          <w:szCs w:val="24"/>
        </w:rPr>
      </w:pPr>
      <w:r>
        <w:rPr>
          <w:rFonts w:ascii="宋体" w:hAnsi="宋体" w:eastAsia="宋体" w:cs="宋体"/>
          <w:b w:val="0"/>
          <w:bCs/>
          <w:spacing w:val="-10"/>
          <w:sz w:val="24"/>
          <w:szCs w:val="24"/>
        </w:rPr>
        <w:t>根据</w:t>
      </w:r>
      <w:r>
        <w:rPr>
          <w:rFonts w:hint="eastAsia" w:ascii="宋体" w:hAnsi="宋体" w:eastAsia="宋体" w:cs="宋体"/>
          <w:b w:val="0"/>
          <w:bCs/>
          <w:spacing w:val="-10"/>
          <w:sz w:val="24"/>
          <w:szCs w:val="24"/>
        </w:rPr>
        <w:t>2023年10月23日-10月25日、10月27日、10月30日-10月31日、11月1日对位于自贡市的自贡市富荣产城融合带基础设施建设项目（C、D段）进行了噪声监测</w:t>
      </w:r>
      <w:r>
        <w:rPr>
          <w:rFonts w:ascii="宋体" w:hAnsi="宋体" w:eastAsia="宋体" w:cs="宋体"/>
          <w:b w:val="0"/>
          <w:bCs/>
          <w:spacing w:val="-10"/>
          <w:sz w:val="24"/>
          <w:szCs w:val="24"/>
        </w:rPr>
        <w:t>同步车流量实测数据(见附件),经折算(昼间小时车流量*16+夜间小时车流量*8)后，项目车流量情况详见表3.5-2。</w:t>
      </w:r>
    </w:p>
    <w:p>
      <w:pPr>
        <w:keepNext w:val="0"/>
        <w:keepLines w:val="0"/>
        <w:pageBreakBefore w:val="0"/>
        <w:widowControl/>
        <w:kinsoku w:val="0"/>
        <w:wordWrap/>
        <w:overflowPunct/>
        <w:topLinePunct w:val="0"/>
        <w:autoSpaceDE w:val="0"/>
        <w:autoSpaceDN w:val="0"/>
        <w:bidi w:val="0"/>
        <w:adjustRightInd w:val="0"/>
        <w:snapToGrid w:val="0"/>
        <w:spacing w:line="222" w:lineRule="auto"/>
        <w:ind w:left="0" w:right="0"/>
        <w:jc w:val="center"/>
        <w:textAlignment w:val="baseline"/>
        <w:rPr>
          <w:rFonts w:ascii="黑体" w:hAnsi="黑体" w:eastAsia="黑体" w:cs="黑体"/>
          <w:b/>
          <w:bCs/>
          <w:spacing w:val="-5"/>
          <w:sz w:val="24"/>
          <w:szCs w:val="24"/>
        </w:rPr>
      </w:pPr>
      <w:r>
        <w:rPr>
          <w:rFonts w:ascii="黑体" w:hAnsi="黑体" w:eastAsia="黑体" w:cs="黑体"/>
          <w:b/>
          <w:bCs/>
          <w:spacing w:val="-5"/>
          <w:sz w:val="24"/>
          <w:szCs w:val="24"/>
        </w:rPr>
        <w:t>表3.5-2 车流量监测结果分析一览表</w:t>
      </w:r>
    </w:p>
    <w:tbl>
      <w:tblPr>
        <w:tblStyle w:val="13"/>
        <w:tblW w:w="87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77"/>
        <w:gridCol w:w="1973"/>
        <w:gridCol w:w="1594"/>
        <w:gridCol w:w="1595"/>
        <w:gridCol w:w="15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0"/>
                <w:rFonts w:hint="eastAsia" w:ascii="宋体" w:hAnsi="宋体" w:eastAsia="宋体" w:cs="宋体"/>
                <w:snapToGrid w:val="0"/>
                <w:color w:val="000000"/>
                <w:sz w:val="21"/>
                <w:szCs w:val="21"/>
                <w:lang w:val="en-US" w:eastAsia="zh-CN" w:bidi="ar"/>
              </w:rPr>
              <w:t>项目</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0"/>
                <w:rFonts w:hint="eastAsia" w:ascii="宋体" w:hAnsi="宋体" w:eastAsia="宋体" w:cs="宋体"/>
                <w:snapToGrid w:val="0"/>
                <w:color w:val="000000"/>
                <w:sz w:val="21"/>
                <w:szCs w:val="21"/>
                <w:lang w:val="en-US" w:eastAsia="zh-CN" w:bidi="ar"/>
              </w:rPr>
              <w:t>预测年限</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宋体" w:hAnsi="宋体" w:eastAsia="宋体" w:cs="宋体"/>
                <w:i w:val="0"/>
                <w:iCs w:val="0"/>
                <w:color w:val="000000"/>
                <w:sz w:val="21"/>
                <w:szCs w:val="21"/>
                <w:u w:val="none"/>
                <w:lang w:val="en-US"/>
              </w:rPr>
            </w:pPr>
            <w:r>
              <w:rPr>
                <w:rStyle w:val="20"/>
                <w:rFonts w:hint="eastAsia" w:ascii="宋体" w:hAnsi="宋体" w:eastAsia="宋体" w:cs="宋体"/>
                <w:snapToGrid w:val="0"/>
                <w:color w:val="000000"/>
                <w:sz w:val="21"/>
                <w:szCs w:val="21"/>
                <w:lang w:val="en-US" w:eastAsia="zh-CN" w:bidi="ar"/>
              </w:rPr>
              <w:t>10月23日</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宋体" w:hAnsi="宋体" w:eastAsia="宋体" w:cs="宋体"/>
                <w:i w:val="0"/>
                <w:iCs w:val="0"/>
                <w:color w:val="000000"/>
                <w:sz w:val="21"/>
                <w:szCs w:val="21"/>
                <w:u w:val="none"/>
                <w:lang w:val="en-US"/>
              </w:rPr>
            </w:pPr>
            <w:r>
              <w:rPr>
                <w:rStyle w:val="20"/>
                <w:rFonts w:hint="eastAsia" w:ascii="宋体" w:hAnsi="宋体" w:eastAsia="宋体" w:cs="宋体"/>
                <w:snapToGrid w:val="0"/>
                <w:color w:val="000000"/>
                <w:sz w:val="21"/>
                <w:szCs w:val="21"/>
                <w:lang w:val="en-US" w:eastAsia="zh-CN" w:bidi="ar"/>
              </w:rPr>
              <w:t>10月30日</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宋体" w:hAnsi="宋体" w:eastAsia="宋体" w:cs="宋体"/>
                <w:i w:val="0"/>
                <w:iCs w:val="0"/>
                <w:color w:val="000000"/>
                <w:sz w:val="21"/>
                <w:szCs w:val="21"/>
                <w:u w:val="none"/>
                <w:lang w:val="en-US"/>
              </w:rPr>
            </w:pPr>
            <w:r>
              <w:rPr>
                <w:rStyle w:val="20"/>
                <w:rFonts w:hint="eastAsia" w:ascii="宋体" w:hAnsi="宋体" w:eastAsia="宋体" w:cs="宋体"/>
                <w:snapToGrid w:val="0"/>
                <w:color w:val="000000"/>
                <w:sz w:val="21"/>
                <w:szCs w:val="21"/>
                <w:lang w:val="en-US" w:eastAsia="zh-CN" w:bidi="ar"/>
              </w:rPr>
              <w:t>11月1日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Style w:val="22"/>
                <w:rFonts w:hint="eastAsia" w:ascii="宋体" w:hAnsi="宋体" w:eastAsia="宋体" w:cs="宋体"/>
                <w:snapToGrid w:val="0"/>
                <w:color w:val="000000"/>
                <w:sz w:val="21"/>
                <w:szCs w:val="21"/>
                <w:lang w:val="en-US" w:eastAsia="zh-CN" w:bidi="ar"/>
              </w:rPr>
            </w:pPr>
          </w:p>
          <w:p>
            <w:pPr>
              <w:keepNext w:val="0"/>
              <w:keepLines w:val="0"/>
              <w:widowControl/>
              <w:suppressLineNumbers w:val="0"/>
              <w:jc w:val="center"/>
              <w:textAlignment w:val="top"/>
              <w:rPr>
                <w:rFonts w:hint="default" w:ascii="宋体" w:hAnsi="宋体" w:eastAsia="宋体" w:cs="宋体"/>
                <w:i w:val="0"/>
                <w:iCs w:val="0"/>
                <w:color w:val="000000"/>
                <w:sz w:val="21"/>
                <w:szCs w:val="21"/>
                <w:u w:val="none"/>
                <w:lang w:val="en-US"/>
              </w:rPr>
            </w:pPr>
            <w:r>
              <w:rPr>
                <w:rStyle w:val="22"/>
                <w:rFonts w:hint="eastAsia" w:ascii="宋体" w:hAnsi="宋体" w:eastAsia="宋体" w:cs="宋体"/>
                <w:snapToGrid w:val="0"/>
                <w:color w:val="000000"/>
                <w:sz w:val="21"/>
                <w:szCs w:val="21"/>
                <w:lang w:val="en-US" w:eastAsia="zh-CN" w:bidi="ar"/>
              </w:rPr>
              <w:t>C段</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交通流量(辆/日)</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snapToGrid w:val="0"/>
                <w:color w:val="000000"/>
                <w:kern w:val="0"/>
                <w:sz w:val="21"/>
                <w:szCs w:val="21"/>
                <w:u w:val="none"/>
                <w:lang w:val="en-US" w:eastAsia="zh-CN" w:bidi="ar"/>
              </w:rPr>
              <w:t>27120</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snapToGrid w:val="0"/>
                <w:color w:val="000000"/>
                <w:kern w:val="0"/>
                <w:sz w:val="21"/>
                <w:szCs w:val="21"/>
                <w:u w:val="none"/>
                <w:lang w:val="en-US" w:eastAsia="zh-CN" w:bidi="ar"/>
              </w:rPr>
              <w:t>26224</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snapToGrid w:val="0"/>
                <w:color w:val="000000"/>
                <w:kern w:val="0"/>
                <w:sz w:val="21"/>
                <w:szCs w:val="21"/>
                <w:u w:val="none"/>
                <w:lang w:val="en-US" w:eastAsia="zh-CN" w:bidi="ar"/>
              </w:rPr>
              <w:t>28824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车型比(%)</w:t>
            </w:r>
          </w:p>
        </w:tc>
        <w:tc>
          <w:tcPr>
            <w:tcW w:w="4787"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宋体" w:hAnsi="宋体" w:eastAsia="宋体" w:cs="宋体"/>
                <w:i w:val="0"/>
                <w:iCs w:val="0"/>
                <w:color w:val="000000"/>
                <w:sz w:val="21"/>
                <w:szCs w:val="21"/>
                <w:u w:val="none"/>
                <w:lang w:val="en-US"/>
              </w:rPr>
            </w:pPr>
            <w:r>
              <w:rPr>
                <w:rStyle w:val="22"/>
                <w:rFonts w:hint="eastAsia" w:ascii="宋体" w:hAnsi="宋体" w:eastAsia="宋体" w:cs="宋体"/>
                <w:snapToGrid w:val="0"/>
                <w:color w:val="000000"/>
                <w:sz w:val="21"/>
                <w:szCs w:val="21"/>
                <w:lang w:val="en-US" w:eastAsia="zh-CN" w:bidi="ar"/>
              </w:rPr>
              <w:t>大型车：中型车：小型车=1:3:20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昼夜比(%)</w:t>
            </w:r>
          </w:p>
        </w:tc>
        <w:tc>
          <w:tcPr>
            <w:tcW w:w="4787"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Style w:val="22"/>
                <w:rFonts w:hint="eastAsia" w:ascii="宋体" w:hAnsi="宋体" w:eastAsia="宋体" w:cs="宋体"/>
                <w:snapToGrid w:val="0"/>
                <w:color w:val="000000"/>
                <w:sz w:val="21"/>
                <w:szCs w:val="21"/>
                <w:lang w:val="en-US" w:eastAsia="zh-CN" w:bidi="ar"/>
              </w:rPr>
            </w:pPr>
          </w:p>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D 段</w:t>
            </w: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交通流量(辆/日)</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snapToGrid w:val="0"/>
                <w:color w:val="000000"/>
                <w:kern w:val="0"/>
                <w:sz w:val="21"/>
                <w:szCs w:val="21"/>
                <w:u w:val="none"/>
                <w:lang w:val="en-US" w:eastAsia="zh-CN" w:bidi="ar"/>
              </w:rPr>
              <w:t>46128</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snapToGrid w:val="0"/>
                <w:color w:val="000000"/>
                <w:kern w:val="0"/>
                <w:sz w:val="21"/>
                <w:szCs w:val="21"/>
                <w:u w:val="none"/>
                <w:lang w:val="en-US" w:eastAsia="zh-CN" w:bidi="ar"/>
              </w:rPr>
              <w:t>35960</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snapToGrid w:val="0"/>
                <w:color w:val="000000"/>
                <w:kern w:val="0"/>
                <w:sz w:val="21"/>
                <w:szCs w:val="21"/>
                <w:u w:val="none"/>
                <w:lang w:val="en-US" w:eastAsia="zh-CN" w:bidi="ar"/>
              </w:rPr>
              <w:t>47880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车型比(%)</w:t>
            </w:r>
          </w:p>
        </w:tc>
        <w:tc>
          <w:tcPr>
            <w:tcW w:w="4787"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大型车：中型车：小型车=1:3:20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000000"/>
                <w:sz w:val="21"/>
                <w:szCs w:val="21"/>
                <w:u w:val="none"/>
              </w:rPr>
            </w:pPr>
          </w:p>
        </w:tc>
        <w:tc>
          <w:tcPr>
            <w:tcW w:w="1973"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昼夜比(%)</w:t>
            </w:r>
          </w:p>
        </w:tc>
        <w:tc>
          <w:tcPr>
            <w:tcW w:w="4787"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Style w:val="22"/>
                <w:rFonts w:hint="eastAsia" w:ascii="宋体" w:hAnsi="宋体" w:eastAsia="宋体" w:cs="宋体"/>
                <w:snapToGrid w:val="0"/>
                <w:color w:val="000000"/>
                <w:sz w:val="21"/>
                <w:szCs w:val="21"/>
                <w:lang w:val="en-US" w:eastAsia="zh-CN" w:bidi="ar"/>
              </w:rPr>
              <w:t>9:1</w:t>
            </w:r>
          </w:p>
        </w:tc>
      </w:tr>
    </w:tbl>
    <w:p>
      <w:pPr>
        <w:spacing w:line="81" w:lineRule="exact"/>
      </w:pPr>
    </w:p>
    <w:p>
      <w:pPr>
        <w:keepNext w:val="0"/>
        <w:keepLines w:val="0"/>
        <w:pageBreakBefore w:val="0"/>
        <w:widowControl/>
        <w:kinsoku w:val="0"/>
        <w:wordWrap/>
        <w:overflowPunct/>
        <w:topLinePunct w:val="0"/>
        <w:autoSpaceDE w:val="0"/>
        <w:autoSpaceDN w:val="0"/>
        <w:bidi w:val="0"/>
        <w:adjustRightInd w:val="0"/>
        <w:snapToGrid w:val="0"/>
        <w:spacing w:line="361" w:lineRule="auto"/>
        <w:ind w:left="0" w:right="0" w:firstLine="440" w:firstLineChars="200"/>
        <w:jc w:val="both"/>
        <w:textAlignment w:val="baseline"/>
        <w:rPr>
          <w:rFonts w:ascii="宋体" w:hAnsi="宋体" w:eastAsia="宋体" w:cs="宋体"/>
          <w:b w:val="0"/>
          <w:bCs/>
          <w:snapToGrid w:val="0"/>
          <w:color w:val="000000"/>
          <w:spacing w:val="-10"/>
          <w:kern w:val="0"/>
          <w:sz w:val="24"/>
          <w:szCs w:val="24"/>
        </w:rPr>
      </w:pPr>
      <w:r>
        <w:rPr>
          <w:rFonts w:ascii="宋体" w:hAnsi="宋体" w:eastAsia="宋体" w:cs="宋体"/>
          <w:b w:val="0"/>
          <w:bCs/>
          <w:snapToGrid w:val="0"/>
          <w:color w:val="000000"/>
          <w:spacing w:val="-10"/>
          <w:kern w:val="0"/>
          <w:sz w:val="24"/>
          <w:szCs w:val="24"/>
        </w:rPr>
        <w:t>根据表3.2-1 和表3.2-2可知，调查期间该道路的交通量达到环评阶段近期(20</w:t>
      </w:r>
      <w:r>
        <w:rPr>
          <w:rFonts w:hint="eastAsia" w:ascii="宋体" w:hAnsi="宋体" w:eastAsia="宋体" w:cs="宋体"/>
          <w:b w:val="0"/>
          <w:bCs/>
          <w:snapToGrid w:val="0"/>
          <w:color w:val="000000"/>
          <w:spacing w:val="-10"/>
          <w:kern w:val="0"/>
          <w:sz w:val="24"/>
          <w:szCs w:val="24"/>
          <w:lang w:val="en-US" w:eastAsia="zh-CN"/>
        </w:rPr>
        <w:t>27</w:t>
      </w:r>
      <w:r>
        <w:rPr>
          <w:rFonts w:ascii="宋体" w:hAnsi="宋体" w:eastAsia="宋体" w:cs="宋体"/>
          <w:b w:val="0"/>
          <w:bCs/>
          <w:snapToGrid w:val="0"/>
          <w:color w:val="000000"/>
          <w:spacing w:val="-10"/>
          <w:kern w:val="0"/>
          <w:sz w:val="24"/>
          <w:szCs w:val="24"/>
        </w:rPr>
        <w:t>年)预测值的1</w:t>
      </w:r>
      <w:r>
        <w:rPr>
          <w:rFonts w:hint="eastAsia" w:ascii="宋体" w:hAnsi="宋体" w:eastAsia="宋体" w:cs="宋体"/>
          <w:b w:val="0"/>
          <w:bCs/>
          <w:snapToGrid w:val="0"/>
          <w:color w:val="000000"/>
          <w:spacing w:val="-10"/>
          <w:kern w:val="0"/>
          <w:sz w:val="24"/>
          <w:szCs w:val="24"/>
          <w:lang w:val="en-US" w:eastAsia="zh-CN"/>
        </w:rPr>
        <w:t>64</w:t>
      </w:r>
      <w:r>
        <w:rPr>
          <w:rFonts w:ascii="宋体" w:hAnsi="宋体" w:eastAsia="宋体" w:cs="宋体"/>
          <w:b w:val="0"/>
          <w:bCs/>
          <w:snapToGrid w:val="0"/>
          <w:color w:val="000000"/>
          <w:spacing w:val="-10"/>
          <w:kern w:val="0"/>
          <w:sz w:val="24"/>
          <w:szCs w:val="24"/>
        </w:rPr>
        <w:t>%、</w:t>
      </w:r>
      <w:r>
        <w:rPr>
          <w:rFonts w:hint="eastAsia" w:ascii="宋体" w:hAnsi="宋体" w:eastAsia="宋体" w:cs="宋体"/>
          <w:b w:val="0"/>
          <w:bCs/>
          <w:snapToGrid w:val="0"/>
          <w:color w:val="000000"/>
          <w:spacing w:val="-10"/>
          <w:kern w:val="0"/>
          <w:sz w:val="24"/>
          <w:szCs w:val="24"/>
          <w:lang w:val="en-US" w:eastAsia="zh-CN"/>
        </w:rPr>
        <w:t>远</w:t>
      </w:r>
      <w:r>
        <w:rPr>
          <w:rFonts w:ascii="宋体" w:hAnsi="宋体" w:eastAsia="宋体" w:cs="宋体"/>
          <w:b w:val="0"/>
          <w:bCs/>
          <w:snapToGrid w:val="0"/>
          <w:color w:val="000000"/>
          <w:spacing w:val="-10"/>
          <w:kern w:val="0"/>
          <w:sz w:val="24"/>
          <w:szCs w:val="24"/>
        </w:rPr>
        <w:t>期(20</w:t>
      </w:r>
      <w:r>
        <w:rPr>
          <w:rFonts w:hint="eastAsia" w:ascii="宋体" w:hAnsi="宋体" w:eastAsia="宋体" w:cs="宋体"/>
          <w:b w:val="0"/>
          <w:bCs/>
          <w:snapToGrid w:val="0"/>
          <w:color w:val="000000"/>
          <w:spacing w:val="-10"/>
          <w:kern w:val="0"/>
          <w:sz w:val="24"/>
          <w:szCs w:val="24"/>
          <w:lang w:val="en-US" w:eastAsia="zh-CN"/>
        </w:rPr>
        <w:t>35</w:t>
      </w:r>
      <w:r>
        <w:rPr>
          <w:rFonts w:ascii="宋体" w:hAnsi="宋体" w:eastAsia="宋体" w:cs="宋体"/>
          <w:b w:val="0"/>
          <w:bCs/>
          <w:snapToGrid w:val="0"/>
          <w:color w:val="000000"/>
          <w:spacing w:val="-10"/>
          <w:kern w:val="0"/>
          <w:sz w:val="24"/>
          <w:szCs w:val="24"/>
        </w:rPr>
        <w:t>年)预测值的12</w:t>
      </w:r>
      <w:r>
        <w:rPr>
          <w:rFonts w:hint="eastAsia" w:ascii="宋体" w:hAnsi="宋体" w:eastAsia="宋体" w:cs="宋体"/>
          <w:b w:val="0"/>
          <w:bCs/>
          <w:snapToGrid w:val="0"/>
          <w:color w:val="000000"/>
          <w:spacing w:val="-10"/>
          <w:kern w:val="0"/>
          <w:sz w:val="24"/>
          <w:szCs w:val="24"/>
          <w:lang w:val="en-US" w:eastAsia="zh-CN"/>
        </w:rPr>
        <w:t>1</w:t>
      </w:r>
      <w:r>
        <w:rPr>
          <w:rFonts w:ascii="宋体" w:hAnsi="宋体" w:eastAsia="宋体" w:cs="宋体"/>
          <w:b w:val="0"/>
          <w:bCs/>
          <w:snapToGrid w:val="0"/>
          <w:color w:val="000000"/>
          <w:spacing w:val="-10"/>
          <w:kern w:val="0"/>
          <w:sz w:val="24"/>
          <w:szCs w:val="24"/>
        </w:rPr>
        <w:t>%。交通量均可达到</w:t>
      </w:r>
      <w:r>
        <w:rPr>
          <w:rFonts w:hint="eastAsia" w:ascii="宋体" w:hAnsi="宋体" w:eastAsia="宋体" w:cs="宋体"/>
          <w:b w:val="0"/>
          <w:bCs/>
          <w:snapToGrid w:val="0"/>
          <w:color w:val="000000"/>
          <w:spacing w:val="-10"/>
          <w:kern w:val="0"/>
          <w:sz w:val="24"/>
          <w:szCs w:val="24"/>
          <w:lang w:val="en-US" w:eastAsia="zh-CN"/>
        </w:rPr>
        <w:t>2021</w:t>
      </w:r>
      <w:r>
        <w:rPr>
          <w:rFonts w:ascii="宋体" w:hAnsi="宋体" w:eastAsia="宋体" w:cs="宋体"/>
          <w:b w:val="0"/>
          <w:bCs/>
          <w:snapToGrid w:val="0"/>
          <w:color w:val="000000"/>
          <w:spacing w:val="-10"/>
          <w:kern w:val="0"/>
          <w:sz w:val="24"/>
          <w:szCs w:val="24"/>
        </w:rPr>
        <w:t>年预测交通量数值。项目道路工程总体上工况稳定，符合《建设项目竣工环境保护验收技术规范-公路》验收调查运行工况要求。</w:t>
      </w:r>
    </w:p>
    <w:p>
      <w:pPr>
        <w:keepNext w:val="0"/>
        <w:keepLines w:val="0"/>
        <w:pageBreakBefore w:val="0"/>
        <w:widowControl/>
        <w:kinsoku w:val="0"/>
        <w:wordWrap/>
        <w:overflowPunct/>
        <w:topLinePunct w:val="0"/>
        <w:autoSpaceDE w:val="0"/>
        <w:autoSpaceDN w:val="0"/>
        <w:bidi w:val="0"/>
        <w:adjustRightInd w:val="0"/>
        <w:snapToGrid w:val="0"/>
        <w:spacing w:line="361" w:lineRule="auto"/>
        <w:ind w:left="0" w:right="0" w:firstLine="440" w:firstLineChars="200"/>
        <w:jc w:val="both"/>
        <w:textAlignment w:val="baseline"/>
        <w:rPr>
          <w:rFonts w:ascii="宋体" w:hAnsi="宋体" w:eastAsia="宋体" w:cs="宋体"/>
          <w:b w:val="0"/>
          <w:bCs/>
          <w:snapToGrid w:val="0"/>
          <w:color w:val="000000"/>
          <w:spacing w:val="-10"/>
          <w:kern w:val="0"/>
          <w:sz w:val="24"/>
          <w:szCs w:val="24"/>
        </w:rPr>
      </w:pPr>
      <w:r>
        <w:rPr>
          <w:rFonts w:ascii="宋体" w:hAnsi="宋体" w:eastAsia="宋体" w:cs="宋体"/>
          <w:b w:val="0"/>
          <w:bCs/>
          <w:snapToGrid w:val="0"/>
          <w:color w:val="000000"/>
          <w:spacing w:val="-10"/>
          <w:kern w:val="0"/>
          <w:sz w:val="24"/>
          <w:szCs w:val="24"/>
        </w:rPr>
        <w:t>由于交通量预测存在一定的误差性，项目验收监测期间交通量与环评阶段预测交通量存在一定差异。根据本次验收监测交通噪声及敏感点噪声监测结果，工程建设前后，工程沿线、敏感目标声环境质量状况良好，交通噪声对周边敏感目标影响不大。</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rPr>
      </w:pPr>
      <w:bookmarkStart w:id="14" w:name="_Toc28188"/>
      <w:r>
        <w:rPr>
          <w:rFonts w:hint="eastAsia"/>
          <w:b/>
          <w:sz w:val="28"/>
          <w:szCs w:val="20"/>
        </w:rPr>
        <w:t>3.6 工程总投资及环保投资</w:t>
      </w:r>
      <w:bookmarkEnd w:id="14"/>
    </w:p>
    <w:p>
      <w:pPr>
        <w:keepNext w:val="0"/>
        <w:keepLines w:val="0"/>
        <w:pageBreakBefore w:val="0"/>
        <w:widowControl/>
        <w:kinsoku w:val="0"/>
        <w:wordWrap/>
        <w:overflowPunct/>
        <w:topLinePunct w:val="0"/>
        <w:autoSpaceDE w:val="0"/>
        <w:autoSpaceDN w:val="0"/>
        <w:bidi w:val="0"/>
        <w:adjustRightInd w:val="0"/>
        <w:snapToGrid w:val="0"/>
        <w:spacing w:line="361" w:lineRule="auto"/>
        <w:ind w:left="0" w:right="0" w:firstLine="440" w:firstLineChars="200"/>
        <w:jc w:val="both"/>
        <w:textAlignment w:val="baseline"/>
        <w:rPr>
          <w:rFonts w:ascii="宋体" w:hAnsi="宋体" w:eastAsia="宋体" w:cs="宋体"/>
          <w:b w:val="0"/>
          <w:bCs/>
          <w:snapToGrid w:val="0"/>
          <w:color w:val="000000"/>
          <w:spacing w:val="-10"/>
          <w:kern w:val="0"/>
          <w:sz w:val="24"/>
          <w:szCs w:val="24"/>
        </w:rPr>
      </w:pPr>
      <w:r>
        <w:rPr>
          <w:rFonts w:ascii="宋体" w:hAnsi="宋体" w:eastAsia="宋体" w:cs="宋体"/>
          <w:b w:val="0"/>
          <w:bCs/>
          <w:snapToGrid w:val="0"/>
          <w:color w:val="000000"/>
          <w:spacing w:val="-10"/>
          <w:kern w:val="0"/>
          <w:sz w:val="24"/>
          <w:szCs w:val="24"/>
        </w:rPr>
        <w:t>该道路工程总投资概算为</w:t>
      </w:r>
      <w:r>
        <w:rPr>
          <w:rFonts w:hint="eastAsia" w:ascii="宋体" w:hAnsi="宋体" w:eastAsia="宋体" w:cs="宋体"/>
          <w:b w:val="0"/>
          <w:bCs/>
          <w:snapToGrid w:val="0"/>
          <w:color w:val="000000"/>
          <w:spacing w:val="-10"/>
          <w:kern w:val="0"/>
          <w:sz w:val="24"/>
          <w:szCs w:val="24"/>
        </w:rPr>
        <w:t xml:space="preserve"> 35422.24</w:t>
      </w:r>
      <w:r>
        <w:rPr>
          <w:rFonts w:ascii="宋体" w:hAnsi="宋体" w:eastAsia="宋体" w:cs="宋体"/>
          <w:b w:val="0"/>
          <w:bCs/>
          <w:snapToGrid w:val="0"/>
          <w:color w:val="000000"/>
          <w:spacing w:val="-10"/>
          <w:kern w:val="0"/>
          <w:sz w:val="24"/>
          <w:szCs w:val="24"/>
        </w:rPr>
        <w:t>万元，项目实际完成投资约</w:t>
      </w:r>
      <w:r>
        <w:rPr>
          <w:rFonts w:hint="eastAsia" w:ascii="宋体" w:hAnsi="宋体" w:eastAsia="宋体" w:cs="宋体"/>
          <w:b w:val="0"/>
          <w:bCs/>
          <w:snapToGrid w:val="0"/>
          <w:color w:val="000000"/>
          <w:spacing w:val="-10"/>
          <w:kern w:val="0"/>
          <w:sz w:val="24"/>
          <w:szCs w:val="24"/>
        </w:rPr>
        <w:t>787360.10</w:t>
      </w:r>
      <w:r>
        <w:rPr>
          <w:rFonts w:ascii="宋体" w:hAnsi="宋体" w:eastAsia="宋体" w:cs="宋体"/>
          <w:b w:val="0"/>
          <w:bCs/>
          <w:snapToGrid w:val="0"/>
          <w:color w:val="000000"/>
          <w:spacing w:val="-10"/>
          <w:kern w:val="0"/>
          <w:sz w:val="24"/>
          <w:szCs w:val="24"/>
        </w:rPr>
        <w:t>万元，环保实际投资为</w:t>
      </w:r>
      <w:r>
        <w:rPr>
          <w:rFonts w:hint="eastAsia" w:ascii="宋体" w:hAnsi="宋体" w:eastAsia="宋体" w:cs="宋体"/>
          <w:b w:val="0"/>
          <w:bCs/>
          <w:snapToGrid w:val="0"/>
          <w:color w:val="000000"/>
          <w:spacing w:val="-10"/>
          <w:kern w:val="0"/>
          <w:sz w:val="24"/>
          <w:szCs w:val="24"/>
          <w:lang w:val="en-US" w:eastAsia="zh-CN"/>
        </w:rPr>
        <w:t>1550</w:t>
      </w:r>
      <w:r>
        <w:rPr>
          <w:rFonts w:ascii="宋体" w:hAnsi="宋体" w:eastAsia="宋体" w:cs="宋体"/>
          <w:b w:val="0"/>
          <w:bCs/>
          <w:snapToGrid w:val="0"/>
          <w:color w:val="000000"/>
          <w:spacing w:val="-10"/>
          <w:kern w:val="0"/>
          <w:sz w:val="24"/>
          <w:szCs w:val="24"/>
        </w:rPr>
        <w:t>万元，占工程实际投资的</w:t>
      </w:r>
      <w:r>
        <w:rPr>
          <w:rFonts w:hint="eastAsia" w:ascii="宋体" w:hAnsi="宋体" w:eastAsia="宋体" w:cs="宋体"/>
          <w:b w:val="0"/>
          <w:bCs/>
          <w:snapToGrid w:val="0"/>
          <w:color w:val="000000"/>
          <w:spacing w:val="-10"/>
          <w:kern w:val="0"/>
          <w:sz w:val="24"/>
          <w:szCs w:val="24"/>
          <w:lang w:val="en-US" w:eastAsia="zh-CN"/>
        </w:rPr>
        <w:t>4.4</w:t>
      </w:r>
      <w:r>
        <w:rPr>
          <w:rFonts w:ascii="宋体" w:hAnsi="宋体" w:eastAsia="宋体" w:cs="宋体"/>
          <w:b w:val="0"/>
          <w:bCs/>
          <w:snapToGrid w:val="0"/>
          <w:color w:val="000000"/>
          <w:spacing w:val="-10"/>
          <w:kern w:val="0"/>
          <w:sz w:val="24"/>
          <w:szCs w:val="24"/>
        </w:rPr>
        <w:t>%。工程实际环保投资详见表3.6-1。具体环保措施落实情况见后续章节。</w:t>
      </w:r>
    </w:p>
    <w:p>
      <w:pPr>
        <w:keepNext w:val="0"/>
        <w:keepLines w:val="0"/>
        <w:pageBreakBefore w:val="0"/>
        <w:widowControl/>
        <w:kinsoku w:val="0"/>
        <w:wordWrap/>
        <w:overflowPunct/>
        <w:topLinePunct w:val="0"/>
        <w:autoSpaceDE w:val="0"/>
        <w:autoSpaceDN w:val="0"/>
        <w:bidi w:val="0"/>
        <w:adjustRightInd w:val="0"/>
        <w:snapToGrid w:val="0"/>
        <w:spacing w:line="222" w:lineRule="auto"/>
        <w:ind w:left="0" w:right="0"/>
        <w:jc w:val="center"/>
        <w:textAlignment w:val="baseline"/>
        <w:rPr>
          <w:rFonts w:ascii="黑体" w:hAnsi="黑体" w:eastAsia="黑体" w:cs="黑体"/>
          <w:sz w:val="24"/>
          <w:szCs w:val="24"/>
        </w:rPr>
      </w:pPr>
      <w:r>
        <w:rPr>
          <w:rFonts w:ascii="黑体" w:hAnsi="黑体" w:eastAsia="黑体" w:cs="黑体"/>
          <w:b/>
          <w:bCs/>
          <w:spacing w:val="-5"/>
          <w:sz w:val="24"/>
          <w:szCs w:val="24"/>
        </w:rPr>
        <w:t>表3.6-1</w:t>
      </w:r>
      <w:r>
        <w:rPr>
          <w:rFonts w:ascii="黑体" w:hAnsi="黑体" w:eastAsia="黑体" w:cs="黑体"/>
          <w:spacing w:val="98"/>
          <w:sz w:val="24"/>
          <w:szCs w:val="24"/>
        </w:rPr>
        <w:t xml:space="preserve"> </w:t>
      </w:r>
      <w:r>
        <w:rPr>
          <w:rFonts w:ascii="黑体" w:hAnsi="黑体" w:eastAsia="黑体" w:cs="黑体"/>
          <w:b/>
          <w:bCs/>
          <w:spacing w:val="-5"/>
          <w:sz w:val="24"/>
          <w:szCs w:val="24"/>
        </w:rPr>
        <w:t>工程环保投资一览表</w:t>
      </w:r>
      <w:r>
        <w:rPr>
          <w:rFonts w:ascii="黑体" w:hAnsi="黑体" w:eastAsia="黑体" w:cs="黑体"/>
          <w:spacing w:val="118"/>
          <w:sz w:val="24"/>
          <w:szCs w:val="24"/>
        </w:rPr>
        <w:t xml:space="preserve"> </w:t>
      </w:r>
      <w:r>
        <w:rPr>
          <w:rFonts w:ascii="黑体" w:hAnsi="黑体" w:eastAsia="黑体" w:cs="黑体"/>
          <w:b/>
          <w:bCs/>
          <w:spacing w:val="-5"/>
          <w:sz w:val="24"/>
          <w:szCs w:val="24"/>
        </w:rPr>
        <w:t>单位：万元</w:t>
      </w:r>
    </w:p>
    <w:p>
      <w:pPr>
        <w:spacing w:line="72" w:lineRule="exact"/>
      </w:pPr>
    </w:p>
    <w:tbl>
      <w:tblPr>
        <w:tblStyle w:val="17"/>
        <w:tblW w:w="85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85"/>
        <w:gridCol w:w="3705"/>
        <w:gridCol w:w="1050"/>
        <w:gridCol w:w="960"/>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679" w:type="dxa"/>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阶段</w:t>
            </w:r>
          </w:p>
        </w:tc>
        <w:tc>
          <w:tcPr>
            <w:tcW w:w="4890" w:type="dxa"/>
            <w:gridSpan w:val="2"/>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内容</w:t>
            </w:r>
          </w:p>
        </w:tc>
        <w:tc>
          <w:tcPr>
            <w:tcW w:w="1050" w:type="dxa"/>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环评投资</w:t>
            </w: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(万元)</w:t>
            </w:r>
          </w:p>
        </w:tc>
        <w:tc>
          <w:tcPr>
            <w:tcW w:w="960" w:type="dxa"/>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实际投资 (万元)</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变化情况 (万元)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restart"/>
            <w:tcBorders>
              <w:left w:val="nil"/>
              <w:bottom w:val="nil"/>
            </w:tcBorders>
            <w:textDirection w:val="tbRlV"/>
            <w:vAlign w:val="top"/>
          </w:tcPr>
          <w:p>
            <w:pPr>
              <w:keepNext w:val="0"/>
              <w:keepLines w:val="0"/>
              <w:widowControl/>
              <w:suppressLineNumbers w:val="0"/>
              <w:jc w:val="both"/>
              <w:textAlignment w:val="bottom"/>
              <w:rPr>
                <w:rStyle w:val="22"/>
                <w:rFonts w:hint="eastAsia" w:ascii="宋体" w:hAnsi="宋体" w:eastAsia="宋体" w:cs="宋体"/>
                <w:snapToGrid w:val="0"/>
                <w:color w:val="000000"/>
                <w:sz w:val="21"/>
                <w:szCs w:val="21"/>
                <w:lang w:val="en-US" w:eastAsia="zh-CN" w:bidi="ar"/>
              </w:rPr>
            </w:pP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施工期</w:t>
            </w:r>
          </w:p>
        </w:tc>
        <w:tc>
          <w:tcPr>
            <w:tcW w:w="1185" w:type="dxa"/>
            <w:vMerge w:val="restart"/>
            <w:vAlign w:val="top"/>
          </w:tcPr>
          <w:p>
            <w:pPr>
              <w:keepNext w:val="0"/>
              <w:keepLines w:val="0"/>
              <w:widowControl/>
              <w:suppressLineNumbers w:val="0"/>
              <w:jc w:val="center"/>
              <w:textAlignment w:val="bottom"/>
              <w:rPr>
                <w:rStyle w:val="22"/>
                <w:rFonts w:hint="default"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废水治理</w:t>
            </w:r>
          </w:p>
        </w:tc>
        <w:tc>
          <w:tcPr>
            <w:tcW w:w="3705" w:type="dxa"/>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修建沉淀池5个，每个有效容积不低于5m³</w:t>
            </w:r>
          </w:p>
        </w:tc>
        <w:tc>
          <w:tcPr>
            <w:tcW w:w="1050" w:type="dxa"/>
            <w:vMerge w:val="restart"/>
            <w:vAlign w:val="top"/>
          </w:tcPr>
          <w:p>
            <w:pPr>
              <w:keepNext w:val="0"/>
              <w:keepLines w:val="0"/>
              <w:widowControl/>
              <w:suppressLineNumbers w:val="0"/>
              <w:jc w:val="center"/>
              <w:textAlignment w:val="bottom"/>
              <w:rPr>
                <w:rStyle w:val="22"/>
                <w:rFonts w:hint="default"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10</w:t>
            </w:r>
          </w:p>
        </w:tc>
        <w:tc>
          <w:tcPr>
            <w:tcW w:w="960" w:type="dxa"/>
            <w:vMerge w:val="restart"/>
            <w:vAlign w:val="top"/>
          </w:tcPr>
          <w:p>
            <w:pPr>
              <w:keepNext w:val="0"/>
              <w:keepLines w:val="0"/>
              <w:widowControl/>
              <w:suppressLineNumbers w:val="0"/>
              <w:jc w:val="center"/>
              <w:textAlignment w:val="bottom"/>
              <w:rPr>
                <w:rFonts w:hint="default" w:ascii="宋体" w:hAnsi="宋体" w:eastAsia="宋体" w:cs="宋体"/>
                <w:snapToGrid w:val="0"/>
                <w:color w:val="000000"/>
                <w:kern w:val="0"/>
                <w:sz w:val="21"/>
                <w:szCs w:val="21"/>
                <w:u w:val="none"/>
                <w:lang w:val="en-US" w:eastAsia="zh-CN" w:bidi="ar"/>
              </w:rPr>
            </w:pPr>
            <w:r>
              <w:rPr>
                <w:rStyle w:val="22"/>
                <w:rFonts w:hint="eastAsia" w:ascii="宋体" w:hAnsi="宋体" w:eastAsia="宋体" w:cs="宋体"/>
                <w:snapToGrid w:val="0"/>
                <w:color w:val="000000"/>
                <w:sz w:val="21"/>
                <w:szCs w:val="21"/>
                <w:lang w:val="en-US" w:eastAsia="zh-CN" w:bidi="ar"/>
              </w:rPr>
              <w:t>10</w:t>
            </w: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50" w:type="dxa"/>
            <w:vMerge w:val="restart"/>
            <w:tcBorders>
              <w:right w:val="nil"/>
            </w:tcBorders>
            <w:vAlign w:val="top"/>
          </w:tcPr>
          <w:p>
            <w:pPr>
              <w:keepNext w:val="0"/>
              <w:keepLines w:val="0"/>
              <w:widowControl/>
              <w:suppressLineNumbers w:val="0"/>
              <w:jc w:val="center"/>
              <w:textAlignment w:val="bottom"/>
              <w:rPr>
                <w:rStyle w:val="22"/>
                <w:rFonts w:hint="default"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79" w:type="dxa"/>
            <w:vMerge w:val="continue"/>
            <w:tcBorders>
              <w:top w:val="nil"/>
              <w:left w:val="nil"/>
              <w:bottom w:val="nil"/>
            </w:tcBorders>
            <w:textDirection w:val="tbRlV"/>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Merge w:val="continue"/>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3705" w:type="dxa"/>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租用郊区段民房的施工人员生活废水经所租用民房的沼气池处理后，用于当地农业施肥。租用城区段民房的施工人员生活废水经所租用民房化粪池处理后，经市政污水管道排入当地城市生活污水处理厂进行最终处理，实现达标排放</w:t>
            </w:r>
          </w:p>
        </w:tc>
        <w:tc>
          <w:tcPr>
            <w:tcW w:w="1050" w:type="dxa"/>
            <w:vMerge w:val="continue"/>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60" w:type="dxa"/>
            <w:vMerge w:val="continue"/>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50" w:type="dxa"/>
            <w:vMerge w:val="continue"/>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679" w:type="dxa"/>
            <w:vMerge w:val="continue"/>
            <w:tcBorders>
              <w:top w:val="nil"/>
              <w:left w:val="nil"/>
              <w:bottom w:val="nil"/>
            </w:tcBorders>
            <w:textDirection w:val="tbRlV"/>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Merge w:val="continue"/>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3705" w:type="dxa"/>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设置桩基泥浆水沉淀池2座，共计容积为12m³</w:t>
            </w:r>
          </w:p>
        </w:tc>
        <w:tc>
          <w:tcPr>
            <w:tcW w:w="1050" w:type="dxa"/>
            <w:vMerge w:val="continue"/>
            <w:tcBorders>
              <w:bottom w:val="single" w:color="auto" w:sz="4" w:space="0"/>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60" w:type="dxa"/>
            <w:vMerge w:val="continue"/>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50" w:type="dxa"/>
            <w:vMerge w:val="continue"/>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79" w:type="dxa"/>
            <w:vMerge w:val="continue"/>
            <w:tcBorders>
              <w:top w:val="nil"/>
              <w:left w:val="nil"/>
              <w:bottom w:val="nil"/>
            </w:tcBorders>
            <w:textDirection w:val="tbRlV"/>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生活垃圾</w:t>
            </w:r>
          </w:p>
        </w:tc>
        <w:tc>
          <w:tcPr>
            <w:tcW w:w="3705" w:type="dxa"/>
            <w:tcBorders>
              <w:right w:val="single" w:color="auto" w:sz="4" w:space="0"/>
            </w:tcBorders>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购置生活垃圾垃圾桶；生活垃圾转运费用</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2</w:t>
            </w:r>
          </w:p>
        </w:tc>
        <w:tc>
          <w:tcPr>
            <w:tcW w:w="960"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79" w:type="dxa"/>
            <w:vMerge w:val="continue"/>
            <w:tcBorders>
              <w:top w:val="nil"/>
              <w:left w:val="nil"/>
              <w:bottom w:val="nil"/>
            </w:tcBorders>
            <w:textDirection w:val="tbRlV"/>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路面弃渣、</w:t>
            </w: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施工弃土</w:t>
            </w:r>
          </w:p>
        </w:tc>
        <w:tc>
          <w:tcPr>
            <w:tcW w:w="3705" w:type="dxa"/>
            <w:tcBorders>
              <w:right w:val="single" w:color="auto" w:sz="4" w:space="0"/>
            </w:tcBorders>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路面弃渣转运费用；施工弃土转运费用</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200</w:t>
            </w:r>
          </w:p>
        </w:tc>
        <w:tc>
          <w:tcPr>
            <w:tcW w:w="960"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200</w:t>
            </w:r>
          </w:p>
        </w:tc>
        <w:tc>
          <w:tcPr>
            <w:tcW w:w="950" w:type="dxa"/>
            <w:vMerge w:val="restart"/>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top w:val="nil"/>
              <w:left w:val="nil"/>
              <w:bottom w:val="nil"/>
            </w:tcBorders>
            <w:textDirection w:val="tbRlV"/>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施工扬尘</w:t>
            </w:r>
          </w:p>
        </w:tc>
        <w:tc>
          <w:tcPr>
            <w:tcW w:w="3705" w:type="dxa"/>
            <w:tcBorders>
              <w:right w:val="single" w:color="auto" w:sz="4" w:space="0"/>
            </w:tcBorders>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 xml:space="preserve"> 施工场地四面设置2m的围挡；施工场地洒水降尘，及时清扫路面尘土；清扫运输车辆泥土并清洗车辆；施工场地出口放置防尘垫；项目运渣车、运料车采用 逢布覆盖；临时料场进行篷布遮盖</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180</w:t>
            </w:r>
          </w:p>
        </w:tc>
        <w:tc>
          <w:tcPr>
            <w:tcW w:w="960"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180</w:t>
            </w:r>
          </w:p>
        </w:tc>
        <w:tc>
          <w:tcPr>
            <w:tcW w:w="950" w:type="dxa"/>
            <w:vMerge w:val="continue"/>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79" w:type="dxa"/>
            <w:vMerge w:val="continue"/>
            <w:tcBorders>
              <w:top w:val="nil"/>
              <w:left w:val="nil"/>
              <w:bottom w:val="nil"/>
            </w:tcBorders>
            <w:textDirection w:val="tbRlV"/>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施工噪声</w:t>
            </w:r>
          </w:p>
        </w:tc>
        <w:tc>
          <w:tcPr>
            <w:tcW w:w="3705" w:type="dxa"/>
            <w:tcBorders>
              <w:right w:val="single" w:color="auto" w:sz="4" w:space="0"/>
            </w:tcBorders>
            <w:vAlign w:val="bottom"/>
          </w:tcPr>
          <w:p>
            <w:pPr>
              <w:keepNext w:val="0"/>
              <w:keepLines w:val="0"/>
              <w:widowControl/>
              <w:suppressLineNumbers w:val="0"/>
              <w:jc w:val="left"/>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优选低噪声设备；加强设备的维修、保养和管理；强噪声设备作业采用局部隔声降噪措施；禁止夜间及</w:t>
            </w:r>
          </w:p>
          <w:p>
            <w:pPr>
              <w:keepNext w:val="0"/>
              <w:keepLines w:val="0"/>
              <w:widowControl/>
              <w:suppressLineNumbers w:val="0"/>
              <w:jc w:val="left"/>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 xml:space="preserve">              “两考”期间施工</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50</w:t>
            </w:r>
          </w:p>
        </w:tc>
        <w:tc>
          <w:tcPr>
            <w:tcW w:w="960"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50</w:t>
            </w:r>
          </w:p>
        </w:tc>
        <w:tc>
          <w:tcPr>
            <w:tcW w:w="950" w:type="dxa"/>
            <w:vMerge w:val="continue"/>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top w:val="nil"/>
              <w:left w:val="nil"/>
              <w:bottom w:val="nil"/>
            </w:tcBorders>
            <w:textDirection w:val="tbRlV"/>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Merge w:val="restart"/>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生态恢</w:t>
            </w: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复措施</w:t>
            </w:r>
          </w:p>
        </w:tc>
        <w:tc>
          <w:tcPr>
            <w:tcW w:w="3705" w:type="dxa"/>
            <w:tcBorders>
              <w:right w:val="single" w:color="auto" w:sz="4" w:space="0"/>
            </w:tcBorders>
            <w:vAlign w:val="bottom"/>
          </w:tcPr>
          <w:p>
            <w:pPr>
              <w:keepNext w:val="0"/>
              <w:keepLines w:val="0"/>
              <w:widowControl/>
              <w:suppressLineNumbers w:val="0"/>
              <w:jc w:val="both"/>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主线工程区设置截水34023m,排水沟48604m；菱形网格护坡220891m²；锚杆框架防护48174 m²；施工工区设置浆砌片石排水沟710m。</w:t>
            </w:r>
          </w:p>
        </w:tc>
        <w:tc>
          <w:tcPr>
            <w:tcW w:w="105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578</w:t>
            </w:r>
          </w:p>
        </w:tc>
        <w:tc>
          <w:tcPr>
            <w:tcW w:w="960" w:type="dxa"/>
            <w:vMerge w:val="restart"/>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578</w:t>
            </w: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50" w:type="dxa"/>
            <w:vMerge w:val="continue"/>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679" w:type="dxa"/>
            <w:vMerge w:val="continue"/>
            <w:tcBorders>
              <w:top w:val="nil"/>
              <w:left w:val="nil"/>
              <w:bottom w:val="nil"/>
            </w:tcBorders>
            <w:textDirection w:val="tbRlV"/>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Merge w:val="continue"/>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3705" w:type="dxa"/>
            <w:tcBorders>
              <w:right w:val="single" w:color="auto" w:sz="4" w:space="0"/>
            </w:tcBorders>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项目施工后期生态恢复措施中，拟栽植乔木40000株，栽植灌木228万株，撒播草籽65.2万m²</w:t>
            </w:r>
          </w:p>
        </w:tc>
        <w:tc>
          <w:tcPr>
            <w:tcW w:w="1050" w:type="dxa"/>
            <w:vMerge w:val="continue"/>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60" w:type="dxa"/>
            <w:vMerge w:val="continue"/>
            <w:tcBorders>
              <w:left w:val="single" w:color="auto" w:sz="4" w:space="0"/>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50" w:type="dxa"/>
            <w:vMerge w:val="continue"/>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79" w:type="dxa"/>
            <w:vMerge w:val="restart"/>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运营期</w:t>
            </w:r>
          </w:p>
        </w:tc>
        <w:tc>
          <w:tcPr>
            <w:tcW w:w="1185" w:type="dxa"/>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废水</w:t>
            </w:r>
          </w:p>
        </w:tc>
        <w:tc>
          <w:tcPr>
            <w:tcW w:w="3705" w:type="dxa"/>
            <w:vAlign w:val="center"/>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路面垃圾清理、打扫费用</w:t>
            </w:r>
          </w:p>
        </w:tc>
        <w:tc>
          <w:tcPr>
            <w:tcW w:w="1050" w:type="dxa"/>
            <w:vMerge w:val="restart"/>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计入运行管理费用</w:t>
            </w: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60" w:type="dxa"/>
            <w:vMerge w:val="restart"/>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计入运行管理费用</w:t>
            </w:r>
          </w:p>
          <w:p>
            <w:pPr>
              <w:keepNext w:val="0"/>
              <w:keepLines w:val="0"/>
              <w:widowControl/>
              <w:suppressLineNumbers w:val="0"/>
              <w:jc w:val="center"/>
              <w:textAlignment w:val="bottom"/>
              <w:rPr>
                <w:rFonts w:hint="eastAsia" w:ascii="宋体" w:hAnsi="宋体" w:eastAsia="宋体" w:cs="宋体"/>
                <w:snapToGrid w:val="0"/>
                <w:color w:val="000000"/>
                <w:kern w:val="0"/>
                <w:sz w:val="21"/>
                <w:szCs w:val="21"/>
                <w:u w:val="none"/>
                <w:lang w:val="en-US" w:eastAsia="zh-CN" w:bidi="ar"/>
              </w:rPr>
            </w:pP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废气</w:t>
            </w:r>
          </w:p>
        </w:tc>
        <w:tc>
          <w:tcPr>
            <w:tcW w:w="3705" w:type="dxa"/>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加强交通管理，禁止尾气超标车辆上路行驶；加强道路两侧绿化带管理以保证存活率，达到空气净化作用</w:t>
            </w:r>
          </w:p>
        </w:tc>
        <w:tc>
          <w:tcPr>
            <w:tcW w:w="1050" w:type="dxa"/>
            <w:vMerge w:val="continue"/>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60" w:type="dxa"/>
            <w:vMerge w:val="continue"/>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Merge w:val="restart"/>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噪声</w:t>
            </w:r>
          </w:p>
        </w:tc>
        <w:tc>
          <w:tcPr>
            <w:tcW w:w="3705" w:type="dxa"/>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设置限速、禁止鸣笛的标志；加强绿化密度及林带宽度，选择叶茂枝密、树冠低垂、减噪力强的植物。</w:t>
            </w:r>
          </w:p>
        </w:tc>
        <w:tc>
          <w:tcPr>
            <w:tcW w:w="1050" w:type="dxa"/>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纳入主体投资和绿化投资</w:t>
            </w:r>
          </w:p>
        </w:tc>
        <w:tc>
          <w:tcPr>
            <w:tcW w:w="960" w:type="dxa"/>
            <w:vAlign w:val="bottom"/>
          </w:tcPr>
          <w:p>
            <w:pPr>
              <w:keepNext w:val="0"/>
              <w:keepLines w:val="0"/>
              <w:widowControl/>
              <w:suppressLineNumbers w:val="0"/>
              <w:jc w:val="center"/>
              <w:textAlignment w:val="bottom"/>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纳入主体投资和绿化投资</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Merge w:val="continue"/>
            <w:vAlign w:val="top"/>
          </w:tcPr>
          <w:p>
            <w:pPr>
              <w:jc w:val="center"/>
              <w:rPr>
                <w:rStyle w:val="22"/>
                <w:rFonts w:hint="eastAsia"/>
                <w:snapToGrid w:val="0"/>
                <w:kern w:val="0"/>
                <w:sz w:val="21"/>
                <w:szCs w:val="21"/>
                <w:lang w:val="en-US" w:eastAsia="zh-CN" w:bidi="ar"/>
              </w:rPr>
            </w:pPr>
          </w:p>
        </w:tc>
        <w:tc>
          <w:tcPr>
            <w:tcW w:w="3705" w:type="dxa"/>
            <w:vAlign w:val="bottom"/>
          </w:tcPr>
          <w:p>
            <w:pPr>
              <w:keepNext w:val="0"/>
              <w:keepLines w:val="0"/>
              <w:widowControl/>
              <w:suppressLineNumbers w:val="0"/>
              <w:jc w:val="left"/>
              <w:textAlignment w:val="bottom"/>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加强路段的交通管理，避免因交通拥堵而造成噪声超</w:t>
            </w:r>
          </w:p>
          <w:p>
            <w:pPr>
              <w:keepNext w:val="0"/>
              <w:keepLines w:val="0"/>
              <w:widowControl/>
              <w:suppressLineNumbers w:val="0"/>
              <w:jc w:val="left"/>
              <w:textAlignment w:val="bottom"/>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标；加强对车辆噪声监测，控制噪声超标车辆上路。</w:t>
            </w:r>
          </w:p>
        </w:tc>
        <w:tc>
          <w:tcPr>
            <w:tcW w:w="1050" w:type="dxa"/>
            <w:vAlign w:val="center"/>
          </w:tcPr>
          <w:p>
            <w:pPr>
              <w:keepNext w:val="0"/>
              <w:keepLines w:val="0"/>
              <w:widowControl/>
              <w:suppressLineNumbers w:val="0"/>
              <w:jc w:val="center"/>
              <w:textAlignment w:val="center"/>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w:t>
            </w:r>
          </w:p>
        </w:tc>
        <w:tc>
          <w:tcPr>
            <w:tcW w:w="960" w:type="dxa"/>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Merge w:val="continue"/>
            <w:vAlign w:val="top"/>
          </w:tcPr>
          <w:p>
            <w:pPr>
              <w:jc w:val="center"/>
              <w:rPr>
                <w:rStyle w:val="22"/>
                <w:rFonts w:hint="eastAsia"/>
                <w:snapToGrid w:val="0"/>
                <w:kern w:val="0"/>
                <w:sz w:val="21"/>
                <w:szCs w:val="21"/>
                <w:lang w:val="en-US" w:eastAsia="zh-CN" w:bidi="ar"/>
              </w:rPr>
            </w:pPr>
          </w:p>
        </w:tc>
        <w:tc>
          <w:tcPr>
            <w:tcW w:w="3705" w:type="dxa"/>
            <w:vAlign w:val="bottom"/>
          </w:tcPr>
          <w:p>
            <w:pPr>
              <w:keepNext w:val="0"/>
              <w:keepLines w:val="0"/>
              <w:widowControl/>
              <w:suppressLineNumbers w:val="0"/>
              <w:jc w:val="left"/>
              <w:textAlignment w:val="bottom"/>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预留部分资金作为道路沿线环境敏感点保护措施资金</w:t>
            </w:r>
          </w:p>
        </w:tc>
        <w:tc>
          <w:tcPr>
            <w:tcW w:w="1050" w:type="dxa"/>
            <w:vAlign w:val="bottom"/>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500</w:t>
            </w:r>
          </w:p>
        </w:tc>
        <w:tc>
          <w:tcPr>
            <w:tcW w:w="960" w:type="dxa"/>
            <w:vAlign w:val="bottom"/>
          </w:tcPr>
          <w:p>
            <w:pPr>
              <w:keepNext w:val="0"/>
              <w:keepLines w:val="0"/>
              <w:widowControl/>
              <w:suppressLineNumbers w:val="0"/>
              <w:jc w:val="center"/>
              <w:textAlignment w:val="bottom"/>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500</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Merge w:val="continue"/>
            <w:vAlign w:val="top"/>
          </w:tcPr>
          <w:p>
            <w:pPr>
              <w:jc w:val="center"/>
              <w:rPr>
                <w:rStyle w:val="22"/>
                <w:rFonts w:hint="eastAsia"/>
                <w:snapToGrid w:val="0"/>
                <w:kern w:val="0"/>
                <w:sz w:val="21"/>
                <w:szCs w:val="21"/>
                <w:lang w:val="en-US" w:eastAsia="zh-CN" w:bidi="ar"/>
              </w:rPr>
            </w:pPr>
          </w:p>
        </w:tc>
        <w:tc>
          <w:tcPr>
            <w:tcW w:w="3705" w:type="dxa"/>
            <w:vAlign w:val="center"/>
          </w:tcPr>
          <w:p>
            <w:pPr>
              <w:keepNext w:val="0"/>
              <w:keepLines w:val="0"/>
              <w:widowControl/>
              <w:suppressLineNumbers w:val="0"/>
              <w:jc w:val="left"/>
              <w:textAlignment w:val="center"/>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合理规划，对于后续引入的沿线项目：建议在距离道路中心线外70m范围内(道路交通干线边界线外40</w:t>
            </w:r>
          </w:p>
          <w:p>
            <w:pPr>
              <w:keepNext w:val="0"/>
              <w:keepLines w:val="0"/>
              <w:widowControl/>
              <w:suppressLineNumbers w:val="0"/>
              <w:jc w:val="left"/>
              <w:textAlignment w:val="center"/>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 xml:space="preserve">  米范围内),不适宜建设医院、学校、办公、居住点等对声环境要求相对较高的建筑。如确需在该范围内新建医院、学校、办公、集中居住点等敏感点建筑，环评要求：应按《中国人民共和国环境噪声污染防治法》的规定，由各建设单位考虑优化建筑布局或合理规划临近道路的第一排房屋的建筑使用功能，同时采取隔声治理措施，使室内环境能达到相应的使用功能噪声标准要求。</w:t>
            </w:r>
          </w:p>
        </w:tc>
        <w:tc>
          <w:tcPr>
            <w:tcW w:w="1050" w:type="dxa"/>
            <w:vAlign w:val="center"/>
          </w:tcPr>
          <w:p>
            <w:pPr>
              <w:keepNext w:val="0"/>
              <w:keepLines w:val="0"/>
              <w:widowControl/>
              <w:suppressLineNumbers w:val="0"/>
              <w:jc w:val="center"/>
              <w:textAlignment w:val="center"/>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w:t>
            </w:r>
          </w:p>
        </w:tc>
        <w:tc>
          <w:tcPr>
            <w:tcW w:w="960" w:type="dxa"/>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Align w:val="center"/>
          </w:tcPr>
          <w:p>
            <w:pPr>
              <w:keepNext w:val="0"/>
              <w:keepLines w:val="0"/>
              <w:widowControl/>
              <w:suppressLineNumbers w:val="0"/>
              <w:jc w:val="both"/>
              <w:textAlignment w:val="bottom"/>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固体废弃物</w:t>
            </w:r>
          </w:p>
        </w:tc>
        <w:tc>
          <w:tcPr>
            <w:tcW w:w="3705" w:type="dxa"/>
            <w:vAlign w:val="center"/>
          </w:tcPr>
          <w:p>
            <w:pPr>
              <w:keepNext w:val="0"/>
              <w:keepLines w:val="0"/>
              <w:widowControl/>
              <w:suppressLineNumbers w:val="0"/>
              <w:jc w:val="center"/>
              <w:textAlignment w:val="bottom"/>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路面垃圾每天清扫，并由市政清运</w:t>
            </w:r>
          </w:p>
        </w:tc>
        <w:tc>
          <w:tcPr>
            <w:tcW w:w="1050" w:type="dxa"/>
            <w:vAlign w:val="bottom"/>
          </w:tcPr>
          <w:p>
            <w:pPr>
              <w:keepNext w:val="0"/>
              <w:keepLines w:val="0"/>
              <w:widowControl/>
              <w:suppressLineNumbers w:val="0"/>
              <w:jc w:val="center"/>
              <w:textAlignment w:val="bottom"/>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计入运营</w:t>
            </w:r>
          </w:p>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管理费用</w:t>
            </w:r>
          </w:p>
        </w:tc>
        <w:tc>
          <w:tcPr>
            <w:tcW w:w="960" w:type="dxa"/>
            <w:vAlign w:val="bottom"/>
          </w:tcPr>
          <w:p>
            <w:pPr>
              <w:keepNext w:val="0"/>
              <w:keepLines w:val="0"/>
              <w:widowControl/>
              <w:suppressLineNumbers w:val="0"/>
              <w:jc w:val="center"/>
              <w:textAlignment w:val="bottom"/>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计入运营</w:t>
            </w:r>
          </w:p>
          <w:p>
            <w:pPr>
              <w:keepNext w:val="0"/>
              <w:keepLines w:val="0"/>
              <w:widowControl/>
              <w:suppressLineNumbers w:val="0"/>
              <w:jc w:val="center"/>
              <w:textAlignment w:val="bottom"/>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管理费用</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79" w:type="dxa"/>
            <w:vMerge w:val="continue"/>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p>
        </w:tc>
        <w:tc>
          <w:tcPr>
            <w:tcW w:w="1185" w:type="dxa"/>
            <w:vAlign w:val="top"/>
          </w:tcPr>
          <w:p>
            <w:pPr>
              <w:keepNext w:val="0"/>
              <w:keepLines w:val="0"/>
              <w:widowControl/>
              <w:suppressLineNumbers w:val="0"/>
              <w:jc w:val="center"/>
              <w:textAlignment w:val="bottom"/>
              <w:rPr>
                <w:rStyle w:val="22"/>
                <w:rFonts w:hint="eastAsia"/>
                <w:snapToGrid w:val="0"/>
                <w:kern w:val="0"/>
                <w:sz w:val="21"/>
                <w:szCs w:val="21"/>
                <w:lang w:val="en-US" w:eastAsia="zh-CN" w:bidi="ar"/>
              </w:rPr>
            </w:pPr>
          </w:p>
          <w:p>
            <w:pPr>
              <w:keepNext w:val="0"/>
              <w:keepLines w:val="0"/>
              <w:widowControl/>
              <w:suppressLineNumbers w:val="0"/>
              <w:jc w:val="center"/>
              <w:textAlignment w:val="bottom"/>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环境风险防</w:t>
            </w:r>
          </w:p>
          <w:p>
            <w:pPr>
              <w:keepNext w:val="0"/>
              <w:keepLines w:val="0"/>
              <w:widowControl/>
              <w:suppressLineNumbers w:val="0"/>
              <w:jc w:val="center"/>
              <w:textAlignment w:val="bottom"/>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范措施</w:t>
            </w:r>
          </w:p>
        </w:tc>
        <w:tc>
          <w:tcPr>
            <w:tcW w:w="3705" w:type="dxa"/>
            <w:vAlign w:val="top"/>
          </w:tcPr>
          <w:p>
            <w:pPr>
              <w:keepNext w:val="0"/>
              <w:keepLines w:val="0"/>
              <w:widowControl/>
              <w:suppressLineNumbers w:val="0"/>
              <w:jc w:val="center"/>
              <w:textAlignment w:val="bottom"/>
              <w:rPr>
                <w:rStyle w:val="22"/>
                <w:rFonts w:hint="eastAsia"/>
                <w:snapToGrid w:val="0"/>
                <w:kern w:val="0"/>
                <w:sz w:val="21"/>
                <w:szCs w:val="21"/>
                <w:lang w:val="en-US" w:eastAsia="zh-CN" w:bidi="ar"/>
              </w:rPr>
            </w:pPr>
            <w:r>
              <w:rPr>
                <w:rStyle w:val="22"/>
                <w:rFonts w:hint="eastAsia"/>
                <w:snapToGrid w:val="0"/>
                <w:kern w:val="0"/>
                <w:sz w:val="21"/>
                <w:szCs w:val="21"/>
                <w:lang w:val="en-US" w:eastAsia="zh-CN" w:bidi="ar"/>
              </w:rPr>
              <w:t>桥梁桥两侧加装双层防撞护栏，加强桥梁栏杆结构强度。在重滩大桥桥梁两侧设置泄漏物质截留和导排设施，以及设置事故应急收集池</w:t>
            </w:r>
          </w:p>
        </w:tc>
        <w:tc>
          <w:tcPr>
            <w:tcW w:w="1050" w:type="dxa"/>
            <w:vAlign w:val="center"/>
          </w:tcPr>
          <w:p>
            <w:pPr>
              <w:keepNext w:val="0"/>
              <w:keepLines w:val="0"/>
              <w:widowControl/>
              <w:suppressLineNumbers w:val="0"/>
              <w:jc w:val="center"/>
              <w:textAlignment w:val="center"/>
              <w:rPr>
                <w:rStyle w:val="22"/>
                <w:rFonts w:hint="eastAsia" w:ascii="宋体" w:hAnsi="宋体" w:eastAsia="宋体" w:cs="宋体"/>
                <w:snapToGrid w:val="0"/>
                <w:color w:val="000000"/>
                <w:sz w:val="21"/>
                <w:szCs w:val="21"/>
                <w:lang w:val="en-US" w:eastAsia="zh-CN" w:bidi="ar"/>
              </w:rPr>
            </w:pPr>
            <w:r>
              <w:rPr>
                <w:rFonts w:hint="eastAsia" w:ascii="宋体" w:hAnsi="宋体" w:eastAsia="宋体" w:cs="宋体"/>
                <w:i w:val="0"/>
                <w:iCs w:val="0"/>
                <w:snapToGrid w:val="0"/>
                <w:color w:val="000000"/>
                <w:kern w:val="0"/>
                <w:sz w:val="22"/>
                <w:szCs w:val="22"/>
                <w:u w:val="none"/>
                <w:lang w:val="en-US" w:eastAsia="zh-CN" w:bidi="ar"/>
              </w:rPr>
              <w:t>30</w:t>
            </w:r>
          </w:p>
        </w:tc>
        <w:tc>
          <w:tcPr>
            <w:tcW w:w="960" w:type="dxa"/>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30</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无变化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569" w:type="dxa"/>
            <w:gridSpan w:val="3"/>
            <w:tcBorders>
              <w:lef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总计</w:t>
            </w:r>
          </w:p>
        </w:tc>
        <w:tc>
          <w:tcPr>
            <w:tcW w:w="1050" w:type="dxa"/>
            <w:vAlign w:val="top"/>
          </w:tcPr>
          <w:p>
            <w:pPr>
              <w:keepNext w:val="0"/>
              <w:keepLines w:val="0"/>
              <w:widowControl/>
              <w:suppressLineNumbers w:val="0"/>
              <w:jc w:val="center"/>
              <w:textAlignment w:val="bottom"/>
              <w:rPr>
                <w:rStyle w:val="22"/>
                <w:rFonts w:hint="default"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1550</w:t>
            </w:r>
          </w:p>
        </w:tc>
        <w:tc>
          <w:tcPr>
            <w:tcW w:w="960" w:type="dxa"/>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1550</w:t>
            </w:r>
          </w:p>
        </w:tc>
        <w:tc>
          <w:tcPr>
            <w:tcW w:w="950" w:type="dxa"/>
            <w:tcBorders>
              <w:right w:val="nil"/>
            </w:tcBorders>
            <w:vAlign w:val="top"/>
          </w:tcPr>
          <w:p>
            <w:pPr>
              <w:keepNext w:val="0"/>
              <w:keepLines w:val="0"/>
              <w:widowControl/>
              <w:suppressLineNumbers w:val="0"/>
              <w:jc w:val="center"/>
              <w:textAlignment w:val="bottom"/>
              <w:rPr>
                <w:rStyle w:val="22"/>
                <w:rFonts w:hint="eastAsia" w:ascii="宋体" w:hAnsi="宋体" w:eastAsia="宋体" w:cs="宋体"/>
                <w:snapToGrid w:val="0"/>
                <w:color w:val="000000"/>
                <w:sz w:val="21"/>
                <w:szCs w:val="21"/>
                <w:lang w:val="en-US" w:eastAsia="zh-CN" w:bidi="ar"/>
              </w:rPr>
            </w:pPr>
            <w:r>
              <w:rPr>
                <w:rStyle w:val="22"/>
                <w:rFonts w:hint="eastAsia" w:ascii="宋体" w:hAnsi="宋体" w:eastAsia="宋体" w:cs="宋体"/>
                <w:snapToGrid w:val="0"/>
                <w:color w:val="000000"/>
                <w:sz w:val="21"/>
                <w:szCs w:val="21"/>
                <w:lang w:val="en-US" w:eastAsia="zh-CN" w:bidi="ar"/>
              </w:rPr>
              <w:t>0</w:t>
            </w:r>
          </w:p>
        </w:tc>
      </w:tr>
    </w:tbl>
    <w:p>
      <w:pPr>
        <w:rPr>
          <w:rFonts w:hint="default"/>
          <w:lang w:val="en-US" w:eastAsia="zh-CN"/>
        </w:rPr>
      </w:pPr>
    </w:p>
    <w:p>
      <w:pPr>
        <w:pStyle w:val="16"/>
        <w:rPr>
          <w:rFonts w:hint="default"/>
          <w:lang w:val="en-US" w:eastAsia="zh-CN"/>
        </w:rPr>
      </w:pPr>
    </w:p>
    <w:p>
      <w:pPr>
        <w:rPr>
          <w:rFonts w:hint="default"/>
          <w:lang w:val="en-US" w:eastAsia="zh-CN"/>
        </w:rPr>
      </w:pPr>
    </w:p>
    <w:p>
      <w:pPr>
        <w:pStyle w:val="16"/>
        <w:rPr>
          <w:rFonts w:hint="default"/>
          <w:lang w:val="en-US" w:eastAsia="zh-CN"/>
        </w:rPr>
      </w:pPr>
    </w:p>
    <w:p>
      <w:pPr>
        <w:rPr>
          <w:rFonts w:hint="default"/>
          <w:lang w:val="en-US" w:eastAsia="zh-CN"/>
        </w:rPr>
      </w:pPr>
    </w:p>
    <w:p>
      <w:pPr>
        <w:pStyle w:val="16"/>
        <w:rPr>
          <w:rFonts w:hint="default"/>
          <w:lang w:val="en-US" w:eastAsia="zh-CN"/>
        </w:rPr>
      </w:pPr>
    </w:p>
    <w:p>
      <w:pPr>
        <w:rPr>
          <w:rFonts w:hint="default"/>
          <w:lang w:val="en-US" w:eastAsia="zh-CN"/>
        </w:rPr>
        <w:sectPr>
          <w:headerReference r:id="rId9" w:type="default"/>
          <w:footerReference r:id="rId10" w:type="default"/>
          <w:pgSz w:w="11900" w:h="16840"/>
          <w:pgMar w:top="1045" w:right="1700" w:bottom="1345" w:left="1680" w:header="865" w:footer="1196" w:gutter="0"/>
          <w:pgNumType w:fmt="decimal"/>
          <w:cols w:space="720" w:num="1"/>
        </w:sectPr>
      </w:pPr>
    </w:p>
    <w:p>
      <w:pPr>
        <w:pStyle w:val="16"/>
        <w:ind w:left="0" w:leftChars="0" w:firstLine="0" w:firstLineChars="0"/>
        <w:rPr>
          <w:rFonts w:hint="default"/>
          <w:lang w:val="en-US" w:eastAsia="zh-CN"/>
        </w:rPr>
      </w:pPr>
    </w:p>
    <w:p>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bookmarkStart w:id="15" w:name="_Toc28957"/>
      <w:r>
        <w:rPr>
          <w:rFonts w:hint="eastAsia"/>
          <w:b/>
          <w:sz w:val="32"/>
          <w:szCs w:val="16"/>
        </w:rPr>
        <w:t>第四章  环境影响</w:t>
      </w:r>
      <w:r>
        <w:rPr>
          <w:rFonts w:hint="eastAsia"/>
          <w:b/>
          <w:sz w:val="32"/>
          <w:szCs w:val="16"/>
          <w:lang w:eastAsia="zh-CN"/>
        </w:rPr>
        <w:t>报告表</w:t>
      </w:r>
      <w:r>
        <w:rPr>
          <w:rFonts w:hint="eastAsia"/>
          <w:b/>
          <w:sz w:val="32"/>
          <w:szCs w:val="16"/>
        </w:rPr>
        <w:t>回顾</w:t>
      </w:r>
      <w:bookmarkEnd w:id="15"/>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ascii="宋体" w:hAnsi="宋体" w:eastAsia="宋体" w:cs="宋体"/>
          <w:b w:val="0"/>
          <w:bCs/>
          <w:spacing w:val="-10"/>
          <w:sz w:val="24"/>
          <w:szCs w:val="24"/>
        </w:rPr>
      </w:pPr>
      <w:r>
        <w:rPr>
          <w:rFonts w:ascii="宋体" w:hAnsi="宋体" w:eastAsia="宋体" w:cs="宋体"/>
          <w:b w:val="0"/>
          <w:bCs/>
          <w:spacing w:val="-10"/>
          <w:sz w:val="24"/>
          <w:szCs w:val="24"/>
        </w:rPr>
        <w:t>环境影响调查的重要任务之一是查清道路工程在设计、施工及试运营过程中 对环境影响</w:t>
      </w:r>
      <w:r>
        <w:rPr>
          <w:rFonts w:hint="eastAsia" w:ascii="宋体" w:hAnsi="宋体" w:eastAsia="宋体" w:cs="宋体"/>
          <w:b w:val="0"/>
          <w:bCs/>
          <w:spacing w:val="-10"/>
          <w:sz w:val="24"/>
          <w:szCs w:val="24"/>
          <w:lang w:eastAsia="zh-CN"/>
        </w:rPr>
        <w:t>报告表</w:t>
      </w:r>
      <w:r>
        <w:rPr>
          <w:rFonts w:ascii="宋体" w:hAnsi="宋体" w:eastAsia="宋体" w:cs="宋体"/>
          <w:b w:val="0"/>
          <w:bCs/>
          <w:spacing w:val="-10"/>
          <w:sz w:val="24"/>
          <w:szCs w:val="24"/>
        </w:rPr>
        <w:t>及其批复中要求的环保设施、环保措施和管理建议的落实情况，因此，回顾环境影响</w:t>
      </w:r>
      <w:r>
        <w:rPr>
          <w:rFonts w:hint="eastAsia" w:ascii="宋体" w:hAnsi="宋体" w:eastAsia="宋体" w:cs="宋体"/>
          <w:b w:val="0"/>
          <w:bCs/>
          <w:spacing w:val="-10"/>
          <w:sz w:val="24"/>
          <w:szCs w:val="24"/>
          <w:lang w:eastAsia="zh-CN"/>
        </w:rPr>
        <w:t>报告表</w:t>
      </w:r>
      <w:r>
        <w:rPr>
          <w:rFonts w:ascii="宋体" w:hAnsi="宋体" w:eastAsia="宋体" w:cs="宋体"/>
          <w:b w:val="0"/>
          <w:bCs/>
          <w:spacing w:val="-10"/>
          <w:sz w:val="24"/>
          <w:szCs w:val="24"/>
        </w:rPr>
        <w:t>的主要内容以及环保部门对</w:t>
      </w:r>
      <w:r>
        <w:rPr>
          <w:rFonts w:hint="eastAsia" w:ascii="宋体" w:hAnsi="宋体" w:eastAsia="宋体" w:cs="宋体"/>
          <w:b w:val="0"/>
          <w:bCs/>
          <w:spacing w:val="-10"/>
          <w:sz w:val="24"/>
          <w:szCs w:val="24"/>
          <w:lang w:eastAsia="zh-CN"/>
        </w:rPr>
        <w:t>报告表</w:t>
      </w:r>
      <w:r>
        <w:rPr>
          <w:rFonts w:ascii="宋体" w:hAnsi="宋体" w:eastAsia="宋体" w:cs="宋体"/>
          <w:b w:val="0"/>
          <w:bCs/>
          <w:spacing w:val="-10"/>
          <w:sz w:val="24"/>
          <w:szCs w:val="24"/>
        </w:rPr>
        <w:t>的批复意见非常必要。</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ascii="Arial"/>
          <w:sz w:val="21"/>
        </w:rPr>
      </w:pPr>
      <w:r>
        <w:rPr>
          <w:rFonts w:hint="eastAsia" w:ascii="宋体" w:hAnsi="宋体" w:eastAsia="宋体" w:cs="宋体"/>
          <w:b w:val="0"/>
          <w:bCs/>
          <w:spacing w:val="-10"/>
          <w:sz w:val="24"/>
          <w:szCs w:val="24"/>
        </w:rPr>
        <w:t>宇寰环保科技（上海）有限公司于2018年01月完成《自贡市富荣产城融合带基础设施建设项目（C、D 段）环境影响报告表(报批本)》</w:t>
      </w:r>
      <w:r>
        <w:rPr>
          <w:rFonts w:ascii="宋体" w:hAnsi="宋体" w:eastAsia="宋体" w:cs="宋体"/>
          <w:b w:val="0"/>
          <w:bCs/>
          <w:spacing w:val="-10"/>
          <w:sz w:val="24"/>
          <w:szCs w:val="24"/>
        </w:rPr>
        <w:t>,</w:t>
      </w:r>
      <w:r>
        <w:rPr>
          <w:rFonts w:hint="eastAsia" w:ascii="宋体" w:hAnsi="宋体" w:eastAsia="宋体" w:cs="宋体"/>
          <w:b w:val="0"/>
          <w:bCs/>
          <w:spacing w:val="-10"/>
          <w:sz w:val="24"/>
          <w:szCs w:val="24"/>
        </w:rPr>
        <w:t>自贡市环境保护局于 2018年02月9日以自环准许〔2018〕8号文批复该道路工程环境影响报告表</w:t>
      </w:r>
      <w:r>
        <w:rPr>
          <w:rFonts w:ascii="宋体" w:hAnsi="宋体" w:eastAsia="宋体" w:cs="宋体"/>
          <w:b w:val="0"/>
          <w:bCs/>
          <w:spacing w:val="-10"/>
          <w:sz w:val="24"/>
          <w:szCs w:val="24"/>
        </w:rPr>
        <w:t>。</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rPr>
      </w:pPr>
      <w:bookmarkStart w:id="16" w:name="_Toc18137"/>
      <w:r>
        <w:rPr>
          <w:rFonts w:hint="eastAsia"/>
          <w:b/>
          <w:sz w:val="28"/>
          <w:szCs w:val="20"/>
        </w:rPr>
        <w:t>4.1 环境影响</w:t>
      </w:r>
      <w:r>
        <w:rPr>
          <w:rFonts w:hint="eastAsia"/>
          <w:b/>
          <w:sz w:val="28"/>
          <w:szCs w:val="20"/>
          <w:lang w:eastAsia="zh-CN"/>
        </w:rPr>
        <w:t>报告表</w:t>
      </w:r>
      <w:r>
        <w:rPr>
          <w:rFonts w:hint="eastAsia"/>
          <w:b/>
          <w:sz w:val="28"/>
          <w:szCs w:val="20"/>
        </w:rPr>
        <w:t>结论</w:t>
      </w:r>
      <w:bookmarkEnd w:id="16"/>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rPr>
      </w:pPr>
      <w:r>
        <w:rPr>
          <w:rFonts w:hint="eastAsia"/>
          <w:b/>
          <w:sz w:val="24"/>
          <w:szCs w:val="18"/>
        </w:rPr>
        <w:t>4.1.1 环境影响</w:t>
      </w:r>
      <w:r>
        <w:rPr>
          <w:rFonts w:hint="eastAsia"/>
          <w:b/>
          <w:sz w:val="24"/>
          <w:szCs w:val="18"/>
          <w:lang w:eastAsia="zh-CN"/>
        </w:rPr>
        <w:t>报告表</w:t>
      </w:r>
      <w:r>
        <w:rPr>
          <w:rFonts w:hint="eastAsia"/>
          <w:b/>
          <w:sz w:val="24"/>
          <w:szCs w:val="18"/>
        </w:rPr>
        <w:t>结论</w:t>
      </w:r>
    </w:p>
    <w:p>
      <w:pPr>
        <w:spacing w:before="79" w:line="354" w:lineRule="auto"/>
        <w:ind w:left="39" w:right="7" w:firstLine="470"/>
        <w:jc w:val="both"/>
        <w:rPr>
          <w:rFonts w:ascii="宋体" w:hAnsi="宋体" w:eastAsia="宋体" w:cs="宋体"/>
          <w:spacing w:val="-12"/>
          <w:sz w:val="24"/>
          <w:szCs w:val="24"/>
        </w:rPr>
      </w:pPr>
      <w:r>
        <w:rPr>
          <w:rFonts w:ascii="宋体" w:hAnsi="宋体" w:eastAsia="宋体" w:cs="宋体"/>
          <w:spacing w:val="5"/>
          <w:sz w:val="24"/>
          <w:szCs w:val="24"/>
        </w:rPr>
        <w:t>根据</w:t>
      </w:r>
      <w:r>
        <w:rPr>
          <w:rFonts w:hint="eastAsia" w:ascii="宋体" w:hAnsi="宋体" w:eastAsia="宋体" w:cs="宋体"/>
          <w:b w:val="0"/>
          <w:bCs/>
          <w:spacing w:val="-10"/>
          <w:sz w:val="24"/>
          <w:szCs w:val="24"/>
        </w:rPr>
        <w:t>宇寰环保科技（上海）有限公司于2018年01月完成《自贡市富荣产城融合带基础设施建设项目（C、D 段）环境影响报告表(报批本)》</w:t>
      </w:r>
      <w:r>
        <w:rPr>
          <w:rFonts w:ascii="宋体" w:hAnsi="宋体" w:eastAsia="宋体" w:cs="宋体"/>
          <w:spacing w:val="7"/>
          <w:sz w:val="24"/>
          <w:szCs w:val="24"/>
        </w:rPr>
        <w:t>,道路工程环境影响</w:t>
      </w:r>
      <w:r>
        <w:rPr>
          <w:rFonts w:hint="eastAsia" w:ascii="宋体" w:hAnsi="宋体" w:eastAsia="宋体" w:cs="宋体"/>
          <w:spacing w:val="7"/>
          <w:sz w:val="24"/>
          <w:szCs w:val="24"/>
          <w:lang w:eastAsia="zh-CN"/>
        </w:rPr>
        <w:t>报告表</w:t>
      </w:r>
      <w:r>
        <w:rPr>
          <w:rFonts w:ascii="宋体" w:hAnsi="宋体" w:eastAsia="宋体" w:cs="宋体"/>
          <w:spacing w:val="-12"/>
          <w:sz w:val="24"/>
          <w:szCs w:val="24"/>
        </w:rPr>
        <w:t>的结论如下：</w:t>
      </w:r>
    </w:p>
    <w:p>
      <w:pPr>
        <w:spacing w:before="79" w:line="354" w:lineRule="auto"/>
        <w:ind w:left="39" w:right="7" w:firstLine="470"/>
        <w:jc w:val="both"/>
        <w:rPr>
          <w:rFonts w:ascii="宋体" w:hAnsi="宋体" w:eastAsia="宋体" w:cs="宋体"/>
          <w:sz w:val="24"/>
          <w:szCs w:val="24"/>
        </w:rPr>
      </w:pPr>
      <w:r>
        <w:rPr>
          <w:rFonts w:ascii="宋体" w:hAnsi="宋体" w:eastAsia="宋体" w:cs="宋体"/>
          <w:spacing w:val="-7"/>
          <w:sz w:val="24"/>
          <w:szCs w:val="24"/>
        </w:rPr>
        <w:t>(1)施工期和运营期的环境影响评价结论</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（一）产业政策符合性 </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hint="eastAsia" w:ascii="宋体" w:hAnsi="宋体" w:eastAsia="宋体" w:cs="宋体"/>
          <w:b w:val="0"/>
          <w:bCs/>
          <w:spacing w:val="-10"/>
          <w:sz w:val="24"/>
          <w:szCs w:val="24"/>
          <w:lang w:val="en-US" w:eastAsia="zh-CN"/>
        </w:rPr>
      </w:pPr>
      <w:r>
        <w:rPr>
          <w:rFonts w:hint="eastAsia" w:ascii="宋体" w:hAnsi="宋体" w:eastAsia="宋体" w:cs="宋体"/>
          <w:b w:val="0"/>
          <w:bCs/>
          <w:spacing w:val="-10"/>
          <w:sz w:val="24"/>
          <w:szCs w:val="24"/>
          <w:lang w:val="en-US" w:eastAsia="zh-CN"/>
        </w:rPr>
        <w:t xml:space="preserve">本项目的建设主要是为了改善区域交通环境，方便居民出行和交通分流。根据国家 发改委《产业结构调整指导目录（2011 年本）（2013 年修正）》，本项目属于其中“第一 类 鼓励类” 中“第二十二项 城市基础设施”中“4、城市道路及智能交通体系建设”。 2017 年 9 月 19 日，自贡市发展和改革委员会以“自发改发【2017】项批 17 号” 对本项目的项目建议书进行了批复，同意本项目前期工作的展开。 </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hint="eastAsia" w:ascii="宋体" w:hAnsi="宋体" w:eastAsia="宋体" w:cs="宋体"/>
          <w:b w:val="0"/>
          <w:bCs/>
          <w:spacing w:val="-10"/>
          <w:sz w:val="24"/>
          <w:szCs w:val="24"/>
          <w:lang w:val="en-US" w:eastAsia="zh-CN"/>
        </w:rPr>
      </w:pPr>
      <w:r>
        <w:rPr>
          <w:rFonts w:hint="eastAsia" w:ascii="宋体" w:hAnsi="宋体" w:eastAsia="宋体" w:cs="宋体"/>
          <w:b w:val="0"/>
          <w:bCs/>
          <w:spacing w:val="-10"/>
          <w:sz w:val="24"/>
          <w:szCs w:val="24"/>
          <w:lang w:val="en-US" w:eastAsia="zh-CN"/>
        </w:rPr>
        <w:t xml:space="preserve">因此，本项目建设符合国家产业政策。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（二）项目规划符合性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根据《自贡市城市总体规划（2011-2030）》文本，在产业发展空间规划方面提出了形成“一带、四园、七区”的市域产业空间布局：“一带”指沿乐自高速的产业发展带，集中规划市域四个重要工业园；“四园”为自贡国家高新技术产业园、沿滩工业园、富顺晨光工业园、荣县工业园；“七区”为贡井成佳工业及农副产品加工区、大安牛佛工业及农副产品加工区、荣县长山工业区、荣县新桥工业及农副产品加工区、富顺代寺工业区、富顺赵化农副产品加工区、富顺板桥农副产品加工区。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sectPr>
          <w:footerReference r:id="rId11" w:type="default"/>
          <w:pgSz w:w="11900" w:h="16840"/>
          <w:pgMar w:top="1045" w:right="1700" w:bottom="1345" w:left="1680" w:header="865" w:footer="1196" w:gutter="0"/>
          <w:pgNumType w:fmt="decimal"/>
          <w:cols w:space="720" w:num="1"/>
        </w:sect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根据市域城镇空间结构规划图和产业发展空间规划图，自贡市主要的城镇和产业呈东西向扁长型布置，形成富荣产城融合带。本项目是连接自贡市中心城区与荣县的重要通道，沿线布置有国家高新技术产业园、沿滩工业园、荣县工业园、富顺晨光工业园、贡井成佳工业及农副产品加工区等园区，是富荣产城融合带的重要交通走廊。项目建成后，对于完善交通路网，对于缓解周边地区及其他道路的交通压力有着重要的作用。 </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hint="eastAsia" w:ascii="宋体" w:hAnsi="宋体" w:eastAsia="宋体" w:cs="宋体"/>
          <w:b w:val="0"/>
          <w:bCs/>
          <w:spacing w:val="-10"/>
          <w:sz w:val="24"/>
          <w:szCs w:val="24"/>
        </w:rPr>
      </w:pPr>
      <w:r>
        <w:rPr>
          <w:rFonts w:hint="eastAsia" w:ascii="宋体" w:hAnsi="宋体" w:eastAsia="宋体" w:cs="宋体"/>
          <w:b w:val="0"/>
          <w:bCs/>
          <w:spacing w:val="-10"/>
          <w:sz w:val="24"/>
          <w:szCs w:val="24"/>
          <w:lang w:val="en-US" w:eastAsia="zh-CN"/>
        </w:rPr>
        <w:t xml:space="preserve">其次，根据《自贡市“十三五“综合交通运输发展规划》：以城市干道为纽带，完善“一环一横三纵”普通干线公路网，“一环”为北环—南环—东环路（卫坪到恐龙馆）组成的城市内环线，“一横”为 S305 线隆雅路自贡段，“三纵”为 S206 遂筠路、S207 资泸路、S218（井研—荣县—宜宾）。本项目属于“一环一横三纵”中的一横。因此，本项目建设不与项目所在地城市发展规划相冲突。 </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hint="eastAsia" w:ascii="宋体" w:hAnsi="宋体" w:eastAsia="宋体" w:cs="宋体"/>
          <w:b w:val="0"/>
          <w:bCs/>
          <w:spacing w:val="-10"/>
          <w:sz w:val="24"/>
          <w:szCs w:val="24"/>
        </w:rPr>
      </w:pPr>
      <w:r>
        <w:rPr>
          <w:rFonts w:hint="eastAsia" w:ascii="宋体" w:hAnsi="宋体" w:eastAsia="宋体" w:cs="宋体"/>
          <w:b w:val="0"/>
          <w:bCs/>
          <w:spacing w:val="-10"/>
          <w:sz w:val="24"/>
          <w:szCs w:val="24"/>
          <w:lang w:val="en-US" w:eastAsia="zh-CN"/>
        </w:rPr>
        <w:t>最后，2017 年 10 月 27 日，自贡市规划建设管理局以“选字第 510302201710090”号文对本项目出具了选址意见书。</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firstLine="440" w:firstLineChars="200"/>
        <w:textAlignment w:val="baseline"/>
        <w:rPr>
          <w:rFonts w:hint="eastAsia" w:ascii="宋体" w:hAnsi="宋体" w:eastAsia="宋体" w:cs="宋体"/>
          <w:b w:val="0"/>
          <w:bCs/>
          <w:spacing w:val="-10"/>
          <w:sz w:val="24"/>
          <w:szCs w:val="24"/>
        </w:rPr>
      </w:pPr>
      <w:r>
        <w:rPr>
          <w:rFonts w:hint="eastAsia" w:ascii="宋体" w:hAnsi="宋体" w:eastAsia="宋体" w:cs="宋体"/>
          <w:b w:val="0"/>
          <w:bCs/>
          <w:spacing w:val="-10"/>
          <w:sz w:val="24"/>
          <w:szCs w:val="24"/>
          <w:lang w:val="en-US" w:eastAsia="zh-CN"/>
        </w:rPr>
        <w:t xml:space="preserve">因此，本项目的建设符合当地发展规划的要求。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（三）项目选址、选线合理性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根据本评价分析，本项目符合《自贡市城市总体规划（2011-2030）》和《自贡市“十三五“综合交通运输发展规划》，因此，评价认为项目建设符合当地发展规划。自贡市富荣产城融合带基础设施建设项目（C、D 段）主要针对贡井区、自流井区内原 S305 省道自贡段进行改造，仅 D 段 K9+700~K11+500 为新建道路。项目建设后不含改变原有道路线路走向，从而既照顾了现有道路的走向，又可减少工程投资。本项目扩建道路永久占地所占地类型为已征用的市政道路用地，不新增占地。本项目建设是对完善区域交通路网，对于缓解周边地区及其他道路的交通压力有着重要的作用。本工程所在地市政基础设施配套好，现状相邻道路均可方便材料运输和施工机具可直达工地；施工场区附近已有水、电接口，建设场地交通方便，区域配套基础设施条件较好。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根据现场勘查，项目线路D段桩号K9+700到K10+000段南面300m处分布有长土水厂备用水源取水口，取水类型为地表水，距离本项目道路红线最近距离为300m。项目施工线路仅有1.7km的路段位于该取水口上游，但距离该取水口上游对应河段的距离均在300m以上。项目重滩河大桥工程涉水河段位于该取水口下游700m处。项目所设置的临时施工工区、表土堆场等临时工程，距离该取水口最近的为4#临时表土堆场，位于该取水口上游河道右岸陆地，距河岸距离为600m。因此，根据《四川省饮用水源保护管理条列》中的相关规定，本项目线路走向，临时施工工区、临时表土堆场等施工区域不会涉及饮用水源保护区。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项目经过区域为城市建设区域，无文物古迹和重大建筑物，也无名木古树、风景名胜区及饮用水源保护地等明显制约因素。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根据现场勘查，项目拟建地周边存在有城区居民等敏感点。项目建设期间，会对评价区域内声环境、大气环境造成一定的影响，但只要认真落实环评及设计单位提出的环保要求，可以将因施工造成的影响减弱到最低程度；项目建成后，废水、废气、噪声和固废都能够得到有效治理，实现达标排放无害化处理，不会因本项目的建设改变当地大气、地表水、声环境等环境质量功能现状。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综上所述，项目选址符合当地规划，在落实好设计和环评提出各项环保措施后，项目施工期废水、废气、噪声、固废不会对项目建设区域造成明显影响，项目选址合理</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（四）区域环境质量现状评价结论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1、环境空气质量现状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综合环评引用的两个监测点位数据来看，评价区域 SO2、NO2、CO 等指标监测结果较好，均能够满足《环境空气质量标准》（GB3095—2012）中的二级标准要求。评价区域 PM2.5、PM10 这两项指标均出现了超标情况。因此，评价区域环境空气质量一般。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2、声环境质量现状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根据监测报告显示，除 2#、4#、5#、6#、7#、8#、13#昼间噪声略有超标情况外，项目所监测噪声点位的噪声值均能够满足相对应的《声环境质量标准》（GB3096-2008）2 类及 4a 类标准要求，超标原因为原 S305 省道自贡段交通噪声所导致，项目建设区域声环境质量一般。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3、水环境质量现状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根据监测结果显示，釜溪河监测断面所测各项监测指标 COD、氨氮、BOD5 及石油类均不能满足《地表水环境质量标准》(GB3838-2002)III 类水域标准要求。分析超标原因：监测断面上游散居农户未进行有效收集的生活废水，以及农业生产活动，导致部分废水污染物直接排入釜溪河，使釜溪河水质变差。评价区域水环境质量一般。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（五）环境影响评价结论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1、大气环境影响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道路施工期沥青烟和扬尘对周围空气环境有一定的影响，特别是距离较近时，影响更大。但是由于施工期是暂时的，影响也是短暂的，随着道路的竣工运营，施工期影响随之消失。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经预测分析，本项目营运近、中、远期所产生的 NO2 小时最大落地浓度及叠加背景值后的叠加值均能够符合《环境空气质量标准》(GB3095-2012)中的二级标准要求，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对周围大气环境影响较小。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2、地表水环境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项目施工废水能够做到资源化利用不外排。租用郊区段民房的施工人员生活废水经所租用民房的沼气池处理后，用于当地农业施肥。租用城区段民房的施工人员生活废水经所租用民房化粪池处理后，经市政污水管道排入当地城市生活污水处理厂进行最终处理，实现达标排放。</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项目营运期废水主要来源于路面径流。非事故情况下，路面径流对水环境影响很小；通过严格的事故风险防范措施，可以最大程度避免汽车泄露污染地表水事故的发生。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项目施工期和运营期对评价区域地表水体的影响很小。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3、声环境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施工期由于各种施工机械设备的运转和各类车辆的运行，不可避免地将产生噪声污染。通过加强管理，合理安排施工作业时间，采用低噪音设备，做好宣传工作, 争取取得周围群众的理解和支持，通过采取上述措施后施工噪声对周围环境的影响在可接受范围内。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营运期噪声主要来自交通噪声，其污染影响是不可避免的，但项目在严格落实加强道路交通管理，实行限速管制，设置减速、禁鸣标志，合理规划，并加强道路两侧绿化等措施后，可将项目营运期交通噪声对区域及周边现有环境敏感点的声学环境质量影响降至可接受程度。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4、固体废弃物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项目施工期产生的生活垃圾经过袋装收集后由垃圾桶暂存，再每日交由环卫部门集中送垃圾填埋场填埋处理；施工期建筑垃圾和废弃土石方全部外运至当地政府部门指定建筑垃圾场堆放。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运营期过往车辆和路人产生的生活垃圾，每天定时由环卫部门清扫，运至城市垃圾场填埋处理。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项目施工期和运营期固体废物均能够做到无害化处理，不会对外环境造成二次污染。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5、生态环境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本项目施工期间对生态环境有一定影响，项目实施后，在施工期将产生一定的水土流失现象，随着工程的结束和绿化的进行，水土流失现象得到逐渐减轻。施工结束后，沿线通过市政配套的绿化防护，对生态环境的影响可以得到缓解。由于道路沿线生物多样化程度低，无生态敏感区，不涉及脆弱生境，不会明显降低区域生态系统的稳定性，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对生态环境的影响很小。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6、社会环境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项目施工期将会对项目周边居民生活造成一定的不便。建设单位在施工前与相关管理部门进行了及时的沟通与协商，通过施工前期的协调和安排，力争将因施工对社会环境的影响降低到最低程度。考虑到项目施工期不长，待施工结束后，项目施工对社会环境的负面影响将立即消失。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本项目投运后，将会改善原有基础设施和交通状况，促进项目直接影响区的经济发展，促使居民生活质量显著提高。因此，本项目投运后具有一定的正效应。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7、环境风险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本项目道路无运输危险品的功能，区域内如确有危险品运输，应提前做好危险品运输风险应急预案。项目道路发生风险事故的可能性极低。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（六）污染物总量控制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根据项目特征，本项目不设污染物总量控制指标。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（七）项目环保投资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 xml:space="preserve">在项目总投资费用 35422.24 万元中，环保投资费用为 1550 万元，占总投资的 4.4%，其环保投资及建设内容合理、可行、基本满足环保需要。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 xml:space="preserve">（八）建设项目环保可行性结论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2" w:firstLineChars="200"/>
        <w:jc w:val="left"/>
        <w:textAlignment w:val="baseline"/>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 xml:space="preserve">自贡市富荣产城融合带基础设施建设项目（C、D 段）符合国家产业政策，项目符合规划当地发展要求，选址选线合理。项目建设有利于改善自贡市贡井区、自流井区交通条件，具有较好的经济效益和社会效益。设计和环评要求的环保措施经济技术可行，项目实施后对环境影响较小。因此，本项目只要全面严格落实环评和工程设计提出的各项环保对策措施，严格执行“三同时”制度，同时严格执行环评中提出的环境风险防范要求，项目建设所产生的不利影响都可以得到减缓或消除。综合考虑本项目在拟选地建设从环保角度分析可行。 </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default" w:ascii="Arial" w:eastAsia="宋体"/>
          <w:sz w:val="21"/>
          <w:lang w:val="en-US" w:eastAsia="zh-CN"/>
        </w:rPr>
      </w:pPr>
      <w:r>
        <w:rPr>
          <w:rFonts w:hint="eastAsia"/>
          <w:b/>
          <w:sz w:val="24"/>
          <w:szCs w:val="18"/>
        </w:rPr>
        <w:t>4.1.2 环评</w:t>
      </w:r>
      <w:r>
        <w:rPr>
          <w:rFonts w:hint="eastAsia"/>
          <w:b/>
          <w:sz w:val="24"/>
          <w:szCs w:val="18"/>
          <w:lang w:eastAsia="zh-CN"/>
        </w:rPr>
        <w:t>报告表</w:t>
      </w:r>
      <w:r>
        <w:rPr>
          <w:rFonts w:hint="eastAsia" w:eastAsia="宋体"/>
          <w:b/>
          <w:sz w:val="24"/>
          <w:szCs w:val="18"/>
          <w:lang w:val="en-US" w:eastAsia="zh-CN"/>
        </w:rPr>
        <w:t>提出的措施落实情况</w:t>
      </w:r>
    </w:p>
    <w:p>
      <w:pPr>
        <w:spacing w:before="78" w:line="218" w:lineRule="auto"/>
        <w:ind w:left="590"/>
        <w:rPr>
          <w:rFonts w:ascii="Arial"/>
          <w:sz w:val="21"/>
        </w:rPr>
      </w:pPr>
      <w:r>
        <w:rPr>
          <w:rFonts w:ascii="宋体" w:hAnsi="宋体" w:eastAsia="宋体" w:cs="宋体"/>
          <w:spacing w:val="-3"/>
          <w:sz w:val="24"/>
          <w:szCs w:val="24"/>
        </w:rPr>
        <w:t>本道路工程环评</w:t>
      </w:r>
      <w:r>
        <w:rPr>
          <w:rFonts w:hint="eastAsia" w:ascii="宋体" w:hAnsi="宋体" w:eastAsia="宋体" w:cs="宋体"/>
          <w:spacing w:val="-3"/>
          <w:sz w:val="24"/>
          <w:szCs w:val="24"/>
          <w:lang w:eastAsia="zh-CN"/>
        </w:rPr>
        <w:t>报告</w:t>
      </w:r>
      <w:r>
        <w:rPr>
          <w:rFonts w:hint="eastAsia" w:ascii="宋体" w:hAnsi="宋体" w:eastAsia="宋体" w:cs="宋体"/>
          <w:b w:val="0"/>
          <w:bCs w:val="0"/>
          <w:spacing w:val="-3"/>
          <w:sz w:val="24"/>
          <w:szCs w:val="24"/>
          <w:lang w:eastAsia="zh-CN"/>
        </w:rPr>
        <w:t>表</w:t>
      </w:r>
      <w:r>
        <w:rPr>
          <w:rFonts w:hint="eastAsia" w:eastAsia="宋体"/>
          <w:b w:val="0"/>
          <w:bCs w:val="0"/>
          <w:sz w:val="24"/>
          <w:szCs w:val="18"/>
          <w:lang w:val="en-US" w:eastAsia="zh-CN"/>
        </w:rPr>
        <w:t>提出的措施落实情况</w:t>
      </w:r>
      <w:r>
        <w:rPr>
          <w:rFonts w:ascii="宋体" w:hAnsi="宋体" w:eastAsia="宋体" w:cs="宋体"/>
          <w:spacing w:val="-3"/>
          <w:sz w:val="24"/>
          <w:szCs w:val="24"/>
        </w:rPr>
        <w:t>表4.1-</w:t>
      </w:r>
      <w:r>
        <w:rPr>
          <w:rFonts w:hint="eastAsia" w:ascii="宋体" w:hAnsi="宋体" w:eastAsia="宋体" w:cs="宋体"/>
          <w:spacing w:val="-3"/>
          <w:sz w:val="24"/>
          <w:szCs w:val="24"/>
          <w:lang w:val="en-US" w:eastAsia="zh-CN"/>
        </w:rPr>
        <w:t>1</w:t>
      </w:r>
      <w:r>
        <w:rPr>
          <w:rFonts w:ascii="宋体" w:hAnsi="宋体" w:eastAsia="宋体" w:cs="宋体"/>
          <w:spacing w:val="-4"/>
          <w:sz w:val="24"/>
          <w:szCs w:val="24"/>
        </w:rPr>
        <w:t>。</w:t>
      </w:r>
    </w:p>
    <w:p>
      <w:pPr>
        <w:spacing w:before="79" w:line="221" w:lineRule="auto"/>
        <w:ind w:left="1833"/>
        <w:rPr>
          <w:rFonts w:ascii="黑体" w:hAnsi="黑体" w:eastAsia="黑体" w:cs="黑体"/>
          <w:sz w:val="24"/>
          <w:szCs w:val="24"/>
        </w:rPr>
      </w:pPr>
      <w:r>
        <w:rPr>
          <w:rFonts w:ascii="黑体" w:hAnsi="黑体" w:eastAsia="黑体" w:cs="黑体"/>
          <w:b/>
          <w:bCs/>
          <w:spacing w:val="-7"/>
          <w:sz w:val="24"/>
          <w:szCs w:val="24"/>
        </w:rPr>
        <w:t>表4.1-</w:t>
      </w:r>
      <w:r>
        <w:rPr>
          <w:rFonts w:hint="eastAsia" w:ascii="黑体" w:hAnsi="黑体" w:eastAsia="黑体" w:cs="黑体"/>
          <w:b/>
          <w:bCs/>
          <w:spacing w:val="-7"/>
          <w:sz w:val="24"/>
          <w:szCs w:val="24"/>
          <w:lang w:val="en-US" w:eastAsia="zh-CN"/>
        </w:rPr>
        <w:t>1</w:t>
      </w:r>
      <w:r>
        <w:rPr>
          <w:rFonts w:ascii="黑体" w:hAnsi="黑体" w:eastAsia="黑体" w:cs="黑体"/>
          <w:spacing w:val="121"/>
          <w:sz w:val="24"/>
          <w:szCs w:val="24"/>
        </w:rPr>
        <w:t xml:space="preserve"> </w:t>
      </w:r>
      <w:r>
        <w:rPr>
          <w:rFonts w:ascii="黑体" w:hAnsi="黑体" w:eastAsia="黑体" w:cs="黑体"/>
          <w:b/>
          <w:bCs/>
          <w:color w:val="auto"/>
          <w:spacing w:val="-5"/>
          <w:sz w:val="24"/>
          <w:szCs w:val="24"/>
        </w:rPr>
        <w:t>环</w:t>
      </w:r>
      <w:r>
        <w:rPr>
          <w:rFonts w:hint="eastAsia" w:ascii="黑体" w:hAnsi="黑体" w:eastAsia="黑体" w:cs="黑体"/>
          <w:b/>
          <w:bCs/>
          <w:color w:val="auto"/>
          <w:spacing w:val="-5"/>
          <w:sz w:val="24"/>
          <w:szCs w:val="24"/>
          <w:lang w:val="en-US" w:eastAsia="zh-CN"/>
        </w:rPr>
        <w:t>评报告表</w:t>
      </w:r>
      <w:r>
        <w:rPr>
          <w:rFonts w:ascii="黑体" w:hAnsi="黑体" w:eastAsia="黑体" w:cs="黑体"/>
          <w:b/>
          <w:bCs/>
          <w:color w:val="auto"/>
          <w:spacing w:val="-5"/>
          <w:sz w:val="24"/>
          <w:szCs w:val="24"/>
        </w:rPr>
        <w:t>意见落实情况一览表</w:t>
      </w:r>
    </w:p>
    <w:p>
      <w:pPr>
        <w:spacing w:line="74" w:lineRule="exact"/>
      </w:pPr>
    </w:p>
    <w:tbl>
      <w:tblPr>
        <w:tblStyle w:val="17"/>
        <w:tblW w:w="85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0"/>
        <w:gridCol w:w="895"/>
        <w:gridCol w:w="3555"/>
        <w:gridCol w:w="1841"/>
        <w:gridCol w:w="1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70" w:type="dxa"/>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验收类别</w:t>
            </w:r>
          </w:p>
        </w:tc>
        <w:tc>
          <w:tcPr>
            <w:tcW w:w="4450" w:type="dxa"/>
            <w:gridSpan w:val="2"/>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验收内容</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验收标准</w:t>
            </w:r>
          </w:p>
        </w:tc>
        <w:tc>
          <w:tcPr>
            <w:tcW w:w="1048" w:type="dxa"/>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1170" w:type="dxa"/>
            <w:vMerge w:val="restart"/>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大气环境</w:t>
            </w:r>
          </w:p>
        </w:tc>
        <w:tc>
          <w:tcPr>
            <w:tcW w:w="895" w:type="dxa"/>
            <w:vAlign w:val="top"/>
          </w:tcPr>
          <w:p>
            <w:pPr>
              <w:keepNext w:val="0"/>
              <w:keepLines w:val="0"/>
              <w:widowControl/>
              <w:suppressLineNumbers w:val="0"/>
              <w:jc w:val="both"/>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施工扬尘</w:t>
            </w:r>
          </w:p>
        </w:tc>
        <w:tc>
          <w:tcPr>
            <w:tcW w:w="3555"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设置 2m 的围挡；洒水降尘，及时 清扫路面；清扫运输车辆泥土并清洗车辆；放置防尘垫；运输车辆采用篷布覆盖；临时料场进行篷布遮盖</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restart"/>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基本落实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1170" w:type="dxa"/>
            <w:vMerge w:val="continue"/>
            <w:tcBorders>
              <w:left w:val="nil"/>
            </w:tcBorders>
            <w:vAlign w:val="top"/>
          </w:tcPr>
          <w:p>
            <w:pPr>
              <w:keepNext w:val="0"/>
              <w:keepLines w:val="0"/>
              <w:widowControl/>
              <w:suppressLineNumbers w:val="0"/>
              <w:jc w:val="center"/>
            </w:pPr>
          </w:p>
        </w:tc>
        <w:tc>
          <w:tcPr>
            <w:tcW w:w="89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营运期道路、车辆尾气</w:t>
            </w:r>
          </w:p>
        </w:tc>
        <w:tc>
          <w:tcPr>
            <w:tcW w:w="355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加强交通管理，禁止尾气超标车辆上路行驶:加强道路两侧绿化带管理以保证存活率，达到空气净化作用</w:t>
            </w:r>
          </w:p>
        </w:tc>
        <w:tc>
          <w:tcPr>
            <w:tcW w:w="1841"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continue"/>
            <w:tcBorders>
              <w:right w:val="nil"/>
            </w:tcBorders>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170" w:type="dxa"/>
            <w:vMerge w:val="restart"/>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声环境</w:t>
            </w:r>
          </w:p>
        </w:tc>
        <w:tc>
          <w:tcPr>
            <w:tcW w:w="89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施工期噪声</w:t>
            </w:r>
          </w:p>
        </w:tc>
        <w:tc>
          <w:tcPr>
            <w:tcW w:w="3555"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优选低噪声设备；加强设备的维修、保养和管理；</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强噪声设备作业采用局部隔声降噪措施；禁止夜 间及“两考”期间施工。</w:t>
            </w:r>
          </w:p>
        </w:tc>
        <w:tc>
          <w:tcPr>
            <w:tcW w:w="1841"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达到 GB12523-2011 </w:t>
            </w:r>
          </w:p>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《建筑施工场界环 </w:t>
            </w:r>
          </w:p>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境噪声排放标准》</w:t>
            </w: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1048" w:type="dxa"/>
            <w:vMerge w:val="restart"/>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0" w:hRule="atLeast"/>
        </w:trPr>
        <w:tc>
          <w:tcPr>
            <w:tcW w:w="1170" w:type="dxa"/>
            <w:vMerge w:val="continue"/>
            <w:tcBorders>
              <w:left w:val="nil"/>
            </w:tcBorders>
            <w:vAlign w:val="top"/>
          </w:tcPr>
          <w:p>
            <w:pPr>
              <w:keepNext w:val="0"/>
              <w:keepLines w:val="0"/>
              <w:widowControl/>
              <w:suppressLineNumbers w:val="0"/>
              <w:jc w:val="center"/>
            </w:pPr>
          </w:p>
        </w:tc>
        <w:tc>
          <w:tcPr>
            <w:tcW w:w="89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营运期噪声</w:t>
            </w:r>
          </w:p>
        </w:tc>
        <w:tc>
          <w:tcPr>
            <w:tcW w:w="3555"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营运期路边根据实际情况加强绿化措施；加强交通管制，汽车禁止鸣笛，及时维护路面状况等降低噪声；合理规划，对于后续引入的沿线项目：建议在距离道路中心线外</w:t>
            </w:r>
            <w:r>
              <w:rPr>
                <w:rFonts w:hint="default" w:ascii="宋体" w:hAnsi="宋体" w:eastAsia="宋体" w:cs="宋体"/>
                <w:snapToGrid w:val="0"/>
                <w:color w:val="000000"/>
                <w:kern w:val="0"/>
                <w:sz w:val="21"/>
                <w:szCs w:val="21"/>
                <w:lang w:val="en-US" w:eastAsia="zh-CN" w:bidi="ar"/>
              </w:rPr>
              <w:t>70m</w:t>
            </w:r>
            <w:r>
              <w:rPr>
                <w:rFonts w:hint="eastAsia" w:ascii="宋体" w:hAnsi="宋体" w:eastAsia="宋体" w:cs="宋体"/>
                <w:snapToGrid w:val="0"/>
                <w:color w:val="000000"/>
                <w:kern w:val="0"/>
                <w:sz w:val="21"/>
                <w:szCs w:val="21"/>
                <w:lang w:val="en-US" w:eastAsia="zh-CN" w:bidi="ar"/>
              </w:rPr>
              <w:t>范围内（道路交通干线边界线外</w:t>
            </w:r>
            <w:r>
              <w:rPr>
                <w:rFonts w:hint="default" w:ascii="宋体" w:hAnsi="宋体" w:eastAsia="宋体" w:cs="宋体"/>
                <w:snapToGrid w:val="0"/>
                <w:color w:val="000000"/>
                <w:kern w:val="0"/>
                <w:sz w:val="21"/>
                <w:szCs w:val="21"/>
                <w:lang w:val="en-US" w:eastAsia="zh-CN" w:bidi="ar"/>
              </w:rPr>
              <w:t>40</w:t>
            </w:r>
            <w:r>
              <w:rPr>
                <w:rFonts w:hint="eastAsia" w:ascii="宋体" w:hAnsi="宋体" w:eastAsia="宋体" w:cs="宋体"/>
                <w:snapToGrid w:val="0"/>
                <w:color w:val="000000"/>
                <w:kern w:val="0"/>
                <w:sz w:val="21"/>
                <w:szCs w:val="21"/>
                <w:lang w:val="en-US" w:eastAsia="zh-CN" w:bidi="ar"/>
              </w:rPr>
              <w:t>米范围内），不适宜建设医院、学校、办公、居住点等对声环境要求相对较高的建筑。</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GB3096-2008《声环境质量标准》 前排：昼间≤70dB,夜间≤55dB</w:t>
            </w: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第二排：昼间≤60dB,夜间≤50dB</w:t>
            </w:r>
          </w:p>
        </w:tc>
        <w:tc>
          <w:tcPr>
            <w:tcW w:w="1048" w:type="dxa"/>
            <w:vMerge w:val="continue"/>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70" w:type="dxa"/>
            <w:vMerge w:val="restart"/>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水环境</w:t>
            </w:r>
          </w:p>
        </w:tc>
        <w:tc>
          <w:tcPr>
            <w:tcW w:w="895"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施工工区施工废水</w:t>
            </w:r>
          </w:p>
        </w:tc>
        <w:tc>
          <w:tcPr>
            <w:tcW w:w="3555"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统一收集沉淀处理后用于场地洒 </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 xml:space="preserve">水抑尘 </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restart"/>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基本落实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 w:hRule="atLeast"/>
        </w:trPr>
        <w:tc>
          <w:tcPr>
            <w:tcW w:w="1170" w:type="dxa"/>
            <w:vMerge w:val="continue"/>
            <w:tcBorders>
              <w:left w:val="nil"/>
            </w:tcBorders>
            <w:vAlign w:val="top"/>
          </w:tcPr>
          <w:p>
            <w:pPr>
              <w:keepNext w:val="0"/>
              <w:keepLines w:val="0"/>
              <w:widowControl/>
              <w:suppressLineNumbers w:val="0"/>
              <w:jc w:val="center"/>
            </w:pPr>
          </w:p>
        </w:tc>
        <w:tc>
          <w:tcPr>
            <w:tcW w:w="895"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桥梁基础施工废水</w:t>
            </w:r>
          </w:p>
        </w:tc>
        <w:tc>
          <w:tcPr>
            <w:tcW w:w="3555"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灌桩出浆进入沉淀池沉淀后的上 </w:t>
            </w:r>
          </w:p>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清液循环使用，清出的淤泥运致 </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 xml:space="preserve">弃渣场堆放处置。 </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continue"/>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170" w:type="dxa"/>
            <w:vMerge w:val="continue"/>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895"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施工生活废水</w:t>
            </w: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3555"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项目施工期人员产生活废水经所 </w:t>
            </w:r>
          </w:p>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租用民房的沼气池处理后，用于 </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当地农业施肥</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continue"/>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 w:hRule="atLeast"/>
        </w:trPr>
        <w:tc>
          <w:tcPr>
            <w:tcW w:w="1170" w:type="dxa"/>
            <w:vMerge w:val="continue"/>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89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营运期</w:t>
            </w:r>
          </w:p>
        </w:tc>
        <w:tc>
          <w:tcPr>
            <w:tcW w:w="3555"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加强路面打扫工作</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continue"/>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 w:hRule="atLeast"/>
        </w:trPr>
        <w:tc>
          <w:tcPr>
            <w:tcW w:w="1170" w:type="dxa"/>
            <w:vMerge w:val="restart"/>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固体废物</w:t>
            </w:r>
          </w:p>
        </w:tc>
        <w:tc>
          <w:tcPr>
            <w:tcW w:w="89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施工弃土</w:t>
            </w:r>
          </w:p>
        </w:tc>
        <w:tc>
          <w:tcPr>
            <w:tcW w:w="3555"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全部转运至运机四分厂弃土场及 </w:t>
            </w:r>
          </w:p>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蛇金山弃土场堆放</w:t>
            </w: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restart"/>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基本落实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 w:hRule="atLeast"/>
        </w:trPr>
        <w:tc>
          <w:tcPr>
            <w:tcW w:w="1170" w:type="dxa"/>
            <w:vMerge w:val="continue"/>
            <w:tcBorders>
              <w:left w:val="nil"/>
            </w:tcBorders>
            <w:vAlign w:val="top"/>
          </w:tcPr>
          <w:p>
            <w:pPr>
              <w:keepNext w:val="0"/>
              <w:keepLines w:val="0"/>
              <w:widowControl/>
              <w:suppressLineNumbers w:val="0"/>
              <w:jc w:val="center"/>
            </w:pPr>
          </w:p>
        </w:tc>
        <w:tc>
          <w:tcPr>
            <w:tcW w:w="89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施工弃渣</w:t>
            </w:r>
          </w:p>
        </w:tc>
        <w:tc>
          <w:tcPr>
            <w:tcW w:w="3555"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外运至当地政府部门指定的建筑 </w:t>
            </w:r>
          </w:p>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弃渣场堆放。</w:t>
            </w: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continue"/>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 w:hRule="atLeast"/>
        </w:trPr>
        <w:tc>
          <w:tcPr>
            <w:tcW w:w="1170" w:type="dxa"/>
            <w:vMerge w:val="continue"/>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89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施工生活垃圾</w:t>
            </w:r>
          </w:p>
        </w:tc>
        <w:tc>
          <w:tcPr>
            <w:tcW w:w="3555" w:type="dxa"/>
            <w:vAlign w:val="top"/>
          </w:tcPr>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经袋装收集后由垃圾桶暂存，再 </w:t>
            </w:r>
          </w:p>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交由当地环卫部门统一清运处 </w:t>
            </w:r>
          </w:p>
          <w:p>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理。</w:t>
            </w: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continue"/>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 w:hRule="atLeast"/>
        </w:trPr>
        <w:tc>
          <w:tcPr>
            <w:tcW w:w="1170" w:type="dxa"/>
            <w:vMerge w:val="continue"/>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895" w:type="dxa"/>
            <w:vAlign w:val="top"/>
          </w:tcPr>
          <w:p>
            <w:pPr>
              <w:keepNext w:val="0"/>
              <w:keepLines w:val="0"/>
              <w:widowControl/>
              <w:suppressLineNumbers w:val="0"/>
              <w:jc w:val="center"/>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营运期</w:t>
            </w:r>
          </w:p>
        </w:tc>
        <w:tc>
          <w:tcPr>
            <w:tcW w:w="3555"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及时清扫，垃圾桶袋装收集，交</w:t>
            </w:r>
          </w:p>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由环卫部门集中处理</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vMerge w:val="continue"/>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1170" w:type="dxa"/>
            <w:tcBorders>
              <w:lef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环境风险</w:t>
            </w:r>
          </w:p>
        </w:tc>
        <w:tc>
          <w:tcPr>
            <w:tcW w:w="895"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tc>
        <w:tc>
          <w:tcPr>
            <w:tcW w:w="3555"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桥梁桥两侧加装双层防撞护栏，加强桥梁栏杆结构强度。在重滩大桥桥梁两侧设置泄漏物质截留和导排设施，以及设置事故应急收集池</w:t>
            </w:r>
          </w:p>
        </w:tc>
        <w:tc>
          <w:tcPr>
            <w:tcW w:w="1841" w:type="dxa"/>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报告表要求</w:t>
            </w:r>
          </w:p>
        </w:tc>
        <w:tc>
          <w:tcPr>
            <w:tcW w:w="1048" w:type="dxa"/>
            <w:tcBorders>
              <w:right w:val="nil"/>
            </w:tcBorders>
            <w:vAlign w:val="top"/>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基本落实</w:t>
            </w:r>
          </w:p>
        </w:tc>
      </w:tr>
    </w:tbl>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rPr>
      </w:pPr>
      <w:bookmarkStart w:id="17" w:name="_Toc23960"/>
      <w:r>
        <w:rPr>
          <w:rFonts w:hint="eastAsia"/>
          <w:b/>
          <w:sz w:val="28"/>
          <w:szCs w:val="20"/>
        </w:rPr>
        <w:t>4.2 环境影响</w:t>
      </w:r>
      <w:r>
        <w:rPr>
          <w:rFonts w:hint="eastAsia"/>
          <w:b/>
          <w:sz w:val="28"/>
          <w:szCs w:val="20"/>
          <w:lang w:eastAsia="zh-CN"/>
        </w:rPr>
        <w:t>报告表</w:t>
      </w:r>
      <w:r>
        <w:rPr>
          <w:rFonts w:hint="eastAsia"/>
          <w:b/>
          <w:sz w:val="28"/>
          <w:szCs w:val="20"/>
        </w:rPr>
        <w:t>的批复</w:t>
      </w:r>
      <w:bookmarkEnd w:id="17"/>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textAlignment w:val="baseline"/>
        <w:rPr>
          <w:rFonts w:hint="eastAsia" w:ascii="宋体" w:hAnsi="宋体" w:eastAsia="宋体" w:cs="宋体"/>
          <w:b w:val="0"/>
          <w:bCs/>
          <w:spacing w:val="-10"/>
          <w:sz w:val="24"/>
          <w:szCs w:val="24"/>
          <w:lang w:val="en-US" w:eastAsia="zh-CN"/>
        </w:rPr>
      </w:pPr>
      <w:r>
        <w:rPr>
          <w:rFonts w:hint="eastAsia" w:ascii="宋体" w:hAnsi="宋体" w:eastAsia="宋体" w:cs="宋体"/>
          <w:b w:val="0"/>
          <w:bCs/>
          <w:spacing w:val="-10"/>
          <w:sz w:val="24"/>
          <w:szCs w:val="24"/>
        </w:rPr>
        <w:t>自贡市环境保护局于 2018年02月9日以自环准许〔2018〕8号文批复该道路工程环境影响报告表</w:t>
      </w:r>
      <w:r>
        <w:rPr>
          <w:rFonts w:hint="eastAsia" w:ascii="宋体" w:hAnsi="宋体" w:eastAsia="宋体" w:cs="宋体"/>
          <w:b w:val="0"/>
          <w:bCs/>
          <w:spacing w:val="-10"/>
          <w:sz w:val="24"/>
          <w:szCs w:val="24"/>
          <w:lang w:eastAsia="zh-CN"/>
        </w:rPr>
        <w:t>，</w:t>
      </w:r>
      <w:r>
        <w:rPr>
          <w:rFonts w:hint="eastAsia" w:ascii="宋体" w:hAnsi="宋体" w:eastAsia="宋体" w:cs="宋体"/>
          <w:b w:val="0"/>
          <w:bCs/>
          <w:spacing w:val="-10"/>
          <w:sz w:val="24"/>
          <w:szCs w:val="24"/>
          <w:lang w:val="en-US" w:eastAsia="zh-CN"/>
        </w:rPr>
        <w:t>批复如下：</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自贡市城市建设投资开发集团有限公司:</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你公司报送的《自贡市富荣产城融合带基础设施建设项目(C、D段)环境影响报告表》( 以下简称《报告表》) 收悉。经研究，现对《报告表》批复如下:</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一、本项目主要针对贡井区、自流井区内原 S305 省道自贡段进行扩建改造，仅 D 段 K9+700~K11+500 为新建道路。改造后道路等级为城市主干路，道路长 24.653 公里 (其中 C 段起于成佳航空园区，止于贡井区长土镇，长 8.74 公里；D 段起于贡井区长土镇，止于东环线交叉口，长 15.913 公里)，红线宽度 70米 (其中 C 段车行道宽 30 米，中央绿化带宽2米；D 段主车道宽 30 米，辅道各宽 7.5 米，中央绿化带宽 2 米，分隔带各宽 5米)。项目总投资 35422.24 万元。</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项目在严格按照《报告表》中所列建设性质、规模、地点路线走向和拟采取的环境保护措施建设和运行，对环境的不利影响能够得到缓解和控制。因此，我局同意《报告表》的结论。你公司应按照《报告表》中所列建设项目的性质、规模、污染防治和生态保护措施及以下要求进行项目建设和管理二、经我局审核批准的《报告表》与本批复具有同等法律效力，你公司应严格按照《报告表》的要求进行项目建设和运行；《报告表》与本批复不一致处以本批复为准</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三、项目在施工期和营运期应重点做好以下工作</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(一) 项目施工期，严格按照水行政主管部门批准的《水土保持方案》落实各项水土保持措施，防止水土流失。</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(二) 做好大气污染防治工作</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严格施工现场管理，认真落实“六必须，六不准”要求文明施工；建筑垃圾和土石方进行封闭式运输，在运输过程中严防撒漏；项目施工期应使用商品混凝土，不得现场拌制。商品混凝土的生产企业应经环保部门批准和验收，防止造成环境污染2.施工现场四周连续围挡，不得留有缺口，底边封闭，泥浆污水等不得外漏。围挡外侧保持清洁，不得堆放土石方、材料、机具、垃圾等。围挡要安排专人负责保洁、维修，破损后要及时修复，确保围挡设施整洁、美观</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加强现场管理，闲置裸土应覆盖或临时绿化；弃料、建筑垃圾等施工废弃物应及时清运，暂不能清运的要采取有效遮盖等措施。4.房屋拆除施工除按房屋建筑工程标准设置围挡、施工大门、冲洗设备外，还应当采取高空喷淋、洒水等降尘措施，废弃物及时清运或覆盖，不得进行开放式拆除5.当风速达四级以上或重污染天气应急期间，应暂时停止房屋拆除或其他易产生扬尘污染的作业，增加洒水降尘频次，有效防治扬尘飞灰。</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6.项目营运期，应加强路面保洁，定期对路面进行冲洗，禁止运输车辆沿途洒漏装载物；运输起尘物品应覆盖蓬布；对道路支线路面进行硬化封闭防止带泥上路等措施，减少地面扬尘对环境的污染</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三) 做好水污染防治工作</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1.在施工现场设置符合规范的隔油沉淀池，施工废水经隔油沉淀后回用，不得外排；施工期生活废水经旱厕收集后，定期运至周边耕地用作农肥。</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2.加强桥梁施工期水环境保护，避免桥梁涉水施工，桥梁基础施工均选择在枯水季节进行，使桥墩基础远离水面。</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加强临近水体路段管理，设置连续的防撞墩、减速牌、减速带和警示标志；在临近水体路段设置径流收集系统和事故处理池(调蓄池)及隔油沉淀池，事故处理池(调蓄池)及隔油沉淀池应加盖防雨且平时保持置空状态。</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(四)做好噪声污染防治工作。</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1.在施工过程中，选用低噪声机具、设备，加强施工机具、设备的维护保养，避免设备性能差导致噪音增强。</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2.在项目敏感点等施工路段设置简易隔声屏障，合理调整施工总平面布置。控制车速，减小噪音污染</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3.合理制定施工计划业不得在夜间及中高考期间进行产生噪声污染的施工作业，防止噪声污染扰民。</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4项目营运期，应加强交通管制理设置限速、禁止鸣笛、减速带等设施，减小噪音污染。 </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 项目投入运营后，若交通噪声对道路两侧的敏感点声环境造成了污染纠纷，你公司应采取有效措施予以解决。</w:t>
      </w:r>
    </w:p>
    <w:p>
      <w:pPr>
        <w:keepNext w:val="0"/>
        <w:keepLines w:val="0"/>
        <w:pageBreakBefore w:val="0"/>
        <w:widowControl/>
        <w:numPr>
          <w:ilvl w:val="0"/>
          <w:numId w:val="2"/>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做好固体废物污染防治工作</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1 项目施工期隔油沉淀池产生的废油等属于危险废物，你公司应主动配合和接受环保部问监督检查:并依法承担以下法律责任:定期如实向环保部门申报登记危险废物:将危险废物分类单独收集、她存，收集存场所应梁取有效措施避免危险废物扬散、流失、渗漏或者造成其他环境污染，规范设置危险废物识别"标志，不得将危险废物提供或者委托给无经营许可证的单位代为处置转移过程严格执行《险废物转移联单管理办法》，经环保部门批准方可进行跨省转移危险废物，定期制订和完善危险废物意外事故防范措施和应急预案向环保部门报备。</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2.拆迁建筑垃圾应尽量回收利用，不能利用的应按规定运送至指定的建筑垃圾消纳场地进行处置</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3.沿道路两侧合理设置垃圾箱、由环卫部门统一清运处置</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（六)加强危险货物运输车辆管理，严格限制其行驶速度,防止因道路交通事故污染环境，降低环境风险:制定突发环境事件应急预案并报环境保护行政主管部门备案，储备必要的应急物资，开展应急演练。</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四、项目建设必须严格执行配套建设的环境保护设施与主体工程同时设计、同时施工、同时投产使用的环境保护“三同时制度。项目峻工投运要符合《建设项目环境保护管理条例》的相关规定要求。</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项目环境影响评价文件经批准后，如工程的性质、规模、工艺、地点或者防治污染、防止生态破坏的措施发生重大变动的建设单位应当重新报批环境影响评价文件。自环评批复文件批准之目起，如硕目超过五年方决定开工建设，环境影响评价文件应当报我局重新审核。否则，不得实施建设.</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违反以上规定，将依法予以处罚</w:t>
      </w:r>
    </w:p>
    <w:p>
      <w:pPr>
        <w:keepNext w:val="0"/>
        <w:keepLines w:val="0"/>
        <w:pageBreakBefore w:val="0"/>
        <w:widowControl/>
        <w:numPr>
          <w:ilvl w:val="0"/>
          <w:numId w:val="3"/>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请自流井区环境保护局、贡井区环境保护局、大安区环境保护局、沿滩区环境保护局负责项目施工期的环境保护监督检查工作。你公司应在收到本决定书 7个工作日内将批复后的环评文件送达自流井区环境保护局、贡井区环境保护局备案，并接受各级环境保护主管部门的监督管理。</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六、申请行政复议或者提起行政诉讼的途径和期限认为本行政许可侵犯其合法权益的单位或个人，可以自本行政许可生效之日起六十日内向自贡市人民政府或四川省环境保护厅提起行政复议，也可以在六个月内向有管辖权的人民法院提起行政诉讼。</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bookmarkStart w:id="18" w:name="_Toc29941"/>
      <w:r>
        <w:rPr>
          <w:rFonts w:hint="eastAsia"/>
          <w:b/>
          <w:sz w:val="28"/>
          <w:szCs w:val="20"/>
        </w:rPr>
        <w:t>4.3 环境保护措施落实情况调查</w:t>
      </w:r>
      <w:bookmarkEnd w:id="18"/>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r>
        <w:rPr>
          <w:rFonts w:hint="eastAsia"/>
          <w:b/>
          <w:sz w:val="24"/>
          <w:szCs w:val="18"/>
        </w:rPr>
        <w:t>4.3.1 环境保护局批复意见落实情况</w:t>
      </w:r>
    </w:p>
    <w:p>
      <w:pPr>
        <w:spacing w:before="79" w:line="346" w:lineRule="auto"/>
        <w:ind w:left="119" w:right="114" w:firstLine="480"/>
        <w:jc w:val="both"/>
        <w:rPr>
          <w:rFonts w:ascii="Arial"/>
          <w:sz w:val="21"/>
        </w:rPr>
      </w:pPr>
      <w:r>
        <w:rPr>
          <w:rFonts w:ascii="宋体" w:hAnsi="宋体" w:eastAsia="宋体" w:cs="宋体"/>
          <w:spacing w:val="7"/>
          <w:sz w:val="24"/>
          <w:szCs w:val="24"/>
        </w:rPr>
        <w:t>根据</w:t>
      </w:r>
      <w:r>
        <w:rPr>
          <w:rFonts w:hint="eastAsia" w:ascii="宋体" w:hAnsi="宋体" w:eastAsia="宋体" w:cs="宋体"/>
          <w:b w:val="0"/>
          <w:bCs/>
          <w:spacing w:val="-10"/>
          <w:sz w:val="24"/>
          <w:szCs w:val="24"/>
        </w:rPr>
        <w:t>自贡市环境保护局于 2018年02月9日以自环准许〔2018〕8号文</w:t>
      </w:r>
      <w:r>
        <w:rPr>
          <w:rFonts w:ascii="宋体" w:hAnsi="宋体" w:eastAsia="宋体" w:cs="宋体"/>
          <w:spacing w:val="2"/>
          <w:sz w:val="24"/>
          <w:szCs w:val="24"/>
        </w:rPr>
        <w:t>对该道路工程环境影响</w:t>
      </w:r>
      <w:r>
        <w:rPr>
          <w:rFonts w:hint="eastAsia" w:ascii="宋体" w:hAnsi="宋体" w:eastAsia="宋体" w:cs="宋体"/>
          <w:spacing w:val="2"/>
          <w:sz w:val="24"/>
          <w:szCs w:val="24"/>
          <w:lang w:eastAsia="zh-CN"/>
        </w:rPr>
        <w:t>报告表</w:t>
      </w:r>
      <w:r>
        <w:rPr>
          <w:rFonts w:ascii="宋体" w:hAnsi="宋体" w:eastAsia="宋体" w:cs="宋体"/>
          <w:spacing w:val="-2"/>
          <w:sz w:val="24"/>
          <w:szCs w:val="24"/>
        </w:rPr>
        <w:t>进行了批复，环保措施落实情况如下，见表4.3-1。</w:t>
      </w:r>
    </w:p>
    <w:p>
      <w:pPr>
        <w:spacing w:before="79" w:line="221" w:lineRule="auto"/>
        <w:ind w:left="1833"/>
        <w:rPr>
          <w:rFonts w:ascii="黑体" w:hAnsi="黑体" w:eastAsia="黑体" w:cs="黑体"/>
          <w:color w:val="auto"/>
          <w:sz w:val="24"/>
          <w:szCs w:val="24"/>
        </w:rPr>
      </w:pPr>
      <w:r>
        <w:rPr>
          <w:rFonts w:ascii="黑体" w:hAnsi="黑体" w:eastAsia="黑体" w:cs="黑体"/>
          <w:b/>
          <w:bCs/>
          <w:color w:val="auto"/>
          <w:spacing w:val="-5"/>
          <w:sz w:val="24"/>
          <w:szCs w:val="24"/>
        </w:rPr>
        <w:t>表4.3-1</w:t>
      </w:r>
      <w:r>
        <w:rPr>
          <w:rFonts w:ascii="黑体" w:hAnsi="黑体" w:eastAsia="黑体" w:cs="黑体"/>
          <w:color w:val="auto"/>
          <w:spacing w:val="90"/>
          <w:sz w:val="24"/>
          <w:szCs w:val="24"/>
        </w:rPr>
        <w:t xml:space="preserve"> </w:t>
      </w:r>
      <w:r>
        <w:rPr>
          <w:rFonts w:ascii="黑体" w:hAnsi="黑体" w:eastAsia="黑体" w:cs="黑体"/>
          <w:b/>
          <w:bCs/>
          <w:color w:val="auto"/>
          <w:spacing w:val="-5"/>
          <w:sz w:val="24"/>
          <w:szCs w:val="24"/>
        </w:rPr>
        <w:t>环境保护局批复意见落实情况一览表</w:t>
      </w:r>
    </w:p>
    <w:p>
      <w:pPr>
        <w:spacing w:line="73" w:lineRule="exact"/>
        <w:rPr>
          <w:color w:val="FF0000"/>
        </w:rPr>
      </w:pPr>
    </w:p>
    <w:tbl>
      <w:tblPr>
        <w:tblStyle w:val="17"/>
        <w:tblW w:w="81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5350"/>
        <w:gridCol w:w="2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45" w:type="dxa"/>
            <w:tcBorders>
              <w:lef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序号</w:t>
            </w:r>
          </w:p>
        </w:tc>
        <w:tc>
          <w:tcPr>
            <w:tcW w:w="5350"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环评批复要求的环保措施</w:t>
            </w:r>
          </w:p>
        </w:tc>
        <w:tc>
          <w:tcPr>
            <w:tcW w:w="2204" w:type="dxa"/>
            <w:tcBorders>
              <w:righ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实际落实情况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645" w:type="dxa"/>
            <w:tcBorders>
              <w:lef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w:t>
            </w:r>
          </w:p>
        </w:tc>
        <w:tc>
          <w:tcPr>
            <w:tcW w:w="5350"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(一) 项目施工期，严格按照水行政主管部门批准的《水土保持方案》落实各项水土保持措施，防止水土流失。</w:t>
            </w:r>
          </w:p>
        </w:tc>
        <w:tc>
          <w:tcPr>
            <w:tcW w:w="2204" w:type="dxa"/>
            <w:tcBorders>
              <w:right w:val="nil"/>
            </w:tcBorders>
            <w:vAlign w:val="top"/>
          </w:tcPr>
          <w:p>
            <w:pPr>
              <w:keepNext w:val="0"/>
              <w:keepLines w:val="0"/>
              <w:widowControl/>
              <w:suppressLineNumbers w:val="0"/>
              <w:jc w:val="left"/>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水土保持方案中要求的水保措施基本得到落实</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645" w:type="dxa"/>
            <w:tcBorders>
              <w:lef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2</w:t>
            </w:r>
          </w:p>
        </w:tc>
        <w:tc>
          <w:tcPr>
            <w:tcW w:w="5350"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(二) 做好大气污染防治工作</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严格施工现场管理，认真落实“六必须，六不准”要求文明施工；建筑垃圾和土石方进行封闭式运输，在运输过程中严防撒漏；项目施工期应使用商品混凝土，不得现场拌制。商品混凝土的生产企业应经环保部门批准和验收，防止造成环境污染</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2.施工现场四周连续围挡，不得留有缺口，底边封闭，泥浆污水等不得外漏。围挡外侧保持清洁，不得堆放土石方、材料、机具、垃圾等。围挡要安排专人负责保洁、维修，破损后要及时修复，确保围挡设施整洁、美观</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3.加强现场管理，闲置裸土应覆盖或临时绿化；弃料、建筑垃圾等施工废弃物应及时清运，暂不能清运的要采取有效遮盖等措施。</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4.房屋拆除施工除按房屋建筑工程标准设置围挡、施工大门、冲洗设备外，还应当采取高空喷淋、洒水等降尘措施，废弃物及时清运或覆盖，不得进行开放式拆除</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5.当风速达四级以上或重污染天气应急期间，应暂时停止房屋拆除或其他易产生扬尘污染的作业，增加洒水降尘频次，有效防治扬尘飞灰。</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6.项目营运期，应加强路面保洁，定期对路面进行冲洗，禁止运输车辆沿途洒漏装载物；运输起尘物品应覆盖蓬布；对道路支线路面进行硬化封闭防止带泥上路等措施，减少地面扬尘对环境的污染。</w:t>
            </w:r>
          </w:p>
        </w:tc>
        <w:tc>
          <w:tcPr>
            <w:tcW w:w="2204" w:type="dxa"/>
            <w:tcBorders>
              <w:righ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default" w:ascii="宋体" w:hAnsi="宋体" w:eastAsia="宋体" w:cs="宋体"/>
                <w:snapToGrid w:val="0"/>
                <w:color w:val="000000"/>
                <w:kern w:val="0"/>
                <w:sz w:val="21"/>
                <w:szCs w:val="21"/>
                <w:lang w:val="en-US" w:eastAsia="zh-CN" w:bidi="ar"/>
              </w:rPr>
            </w:pPr>
            <w:r>
              <w:rPr>
                <w:rFonts w:hint="default" w:ascii="宋体" w:hAnsi="宋体" w:eastAsia="宋体" w:cs="宋体"/>
                <w:snapToGrid w:val="0"/>
                <w:color w:val="000000"/>
                <w:kern w:val="0"/>
                <w:sz w:val="21"/>
                <w:szCs w:val="21"/>
                <w:lang w:val="en-US" w:eastAsia="zh-CN" w:bidi="ar"/>
              </w:rPr>
              <w:t>施工期应严格执行“六必须、六不准”要求。</w:t>
            </w:r>
            <w:r>
              <w:rPr>
                <w:rFonts w:hint="eastAsia" w:ascii="宋体" w:hAnsi="宋体" w:eastAsia="宋体" w:cs="宋体"/>
                <w:snapToGrid w:val="0"/>
                <w:color w:val="000000"/>
                <w:kern w:val="0"/>
                <w:sz w:val="21"/>
                <w:szCs w:val="21"/>
                <w:lang w:val="en-US" w:eastAsia="zh-CN" w:bidi="ar"/>
              </w:rPr>
              <w:t>同时</w:t>
            </w:r>
            <w:r>
              <w:rPr>
                <w:rFonts w:hint="default" w:ascii="宋体" w:hAnsi="宋体" w:eastAsia="宋体" w:cs="宋体"/>
                <w:snapToGrid w:val="0"/>
                <w:color w:val="000000"/>
                <w:kern w:val="0"/>
                <w:sz w:val="21"/>
                <w:szCs w:val="21"/>
                <w:lang w:val="en-US" w:eastAsia="zh-CN" w:bidi="ar"/>
              </w:rPr>
              <w:t>加强施工期环境管理，合理安排施工时段</w:t>
            </w:r>
            <w:r>
              <w:rPr>
                <w:rFonts w:hint="eastAsia" w:ascii="宋体" w:hAnsi="宋体" w:eastAsia="宋体" w:cs="宋体"/>
                <w:snapToGrid w:val="0"/>
                <w:color w:val="000000"/>
                <w:kern w:val="0"/>
                <w:sz w:val="21"/>
                <w:szCs w:val="21"/>
                <w:lang w:val="en-US" w:eastAsia="zh-CN" w:bidi="ar"/>
              </w:rPr>
              <w:t>等。营运期加强了交通管理，规定车速范围，保持车流畅通；路面及时清扫。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645" w:type="dxa"/>
            <w:tcBorders>
              <w:lef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w:t>
            </w:r>
          </w:p>
        </w:tc>
        <w:tc>
          <w:tcPr>
            <w:tcW w:w="5350"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 三) 做好水污染防治工作</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1.在施工现场设置符合规范的隔油沉淀池，施工废水经隔油沉淀后回用，不得外排；施工期生活废水经旱厕收集后，定期运至周边耕地用作农肥。</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2.加强桥梁施工期水环境保护，避免桥梁涉水施工，桥梁基础施工均选择在枯水季节进行，使桥墩基础远离水面。</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加强临近水体路段管理，设置连续的防撞墩、减速牌、减速带和警示标志；在临近水体路段设置径流收集系统和事故处理池(调蓄池)及隔油沉淀池，事故处理池(调蓄池)及隔油沉淀池应加盖防雨且平时保持置空状态。</w:t>
            </w:r>
          </w:p>
        </w:tc>
        <w:tc>
          <w:tcPr>
            <w:tcW w:w="2204" w:type="dxa"/>
            <w:tcBorders>
              <w:righ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郊区施工废水经所租用民房的沼气池处理后，用于当地农业施肥。城区段民房的施工人员生活废水经所租用民房化粪池处理后，经市政污水管道排入当地城市生活污水处理厂进行最终处理。</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营运期地表水影响主要来源于降雨形成的路面径流，以及路面径流携带的路面石油类污染物。</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根据实际调查，本工程建设有路面雨水排水管道，路面径流经雨水收集口收集，通过排水管道汇入河沟。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7" w:hRule="atLeast"/>
        </w:trPr>
        <w:tc>
          <w:tcPr>
            <w:tcW w:w="645" w:type="dxa"/>
            <w:tcBorders>
              <w:lef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4</w:t>
            </w:r>
          </w:p>
        </w:tc>
        <w:tc>
          <w:tcPr>
            <w:tcW w:w="5350"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(四)做好噪声污染防治工作。</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1.在施工过程中，选用低噪声机具、设备，加强施工机具、设备的维护保养，避免设备性能差导致噪音增强。</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2.在项目敏感点等施工路段设置简易隔声屏障，合理调整施工总平面布置。控制车速，减小噪音污染</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3.合理制定施工计划业不得在夜间及中高考期间进行产生噪声污染的施工作业，防止噪声污染扰民。</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 xml:space="preserve">4项目营运期，应加强交通管制理设置限速、禁止鸣笛、减速带等设施，减小噪音污染。 </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5 项目投入运营后，若交通噪声对道路两侧的敏感点声环境造成了污染纠纷，你公司应采取有效措施予以解决。</w:t>
            </w:r>
          </w:p>
        </w:tc>
        <w:tc>
          <w:tcPr>
            <w:tcW w:w="2204" w:type="dxa"/>
            <w:tcBorders>
              <w:righ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施工期采用低噪声施工机械, 实行规范施工、分时段作业等措施。营运期采取了交通管制，合理设置交通标志、标线，在噪声敏感建筑物集中区和敏感时段采取限速、设置隔声屏障等措施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4" w:hRule="atLeast"/>
        </w:trPr>
        <w:tc>
          <w:tcPr>
            <w:tcW w:w="645" w:type="dxa"/>
            <w:tcBorders>
              <w:lef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5</w:t>
            </w:r>
          </w:p>
        </w:tc>
        <w:tc>
          <w:tcPr>
            <w:tcW w:w="5350"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做好固体废物污染防治工作</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1 项目施工期隔油沉淀池产生的废油等属于危险废物，你公司应主动配合和接受环保部问监督检查:并依法承担以下法律责任:定期如实向环保部门申报登记危险废物:将危险废物分类单独收集、她存，收集存场所应梁取有效措施避免危险废物扬散、流失、渗漏或者造成其他环境污染，规范设置危险废物识别"标志，不得将危险废物提供或者委托给无经营许可证的单位代为处置转移过程严格执行《险废物转移联单管理办法》，经环保部门批准方可进行跨省转移危险废物，定期制订和完善危险废物意外事故防范措施和应急预案向环保部门报备。</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2.拆迁建筑垃圾应尽量回收利用，不能利用的应按规定运送至指定的建筑垃圾消纳场地进行处置</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3.沿道路两侧合理设置垃圾箱、由环卫部门统一清运处置</w:t>
            </w:r>
          </w:p>
        </w:tc>
        <w:tc>
          <w:tcPr>
            <w:tcW w:w="2204" w:type="dxa"/>
            <w:tcBorders>
              <w:righ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项目施工期危废签订了危废协议，废油交有自贡市兴成贸易有限公司运输至资质单位处置。项目施工期废砂石料、弃土等经过妥善收集后，运往指定弃土场堆放:对废建筑材料采取了综合利用措施:施工人员生活垃圾依托附近居民区的垃圾收集设施收集处理</w:t>
            </w:r>
          </w:p>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根据实际调查，项目营运期产生的交通垃圾，运营期过往车辆和路人产生的生活垃圾，每天定时由环卫部门清扫，运至城市垃圾场填埋处理。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645" w:type="dxa"/>
            <w:tcBorders>
              <w:left w:val="nil"/>
            </w:tcBorders>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6</w:t>
            </w:r>
          </w:p>
        </w:tc>
        <w:tc>
          <w:tcPr>
            <w:tcW w:w="5350" w:type="dxa"/>
            <w:vAlign w:val="top"/>
          </w:tcPr>
          <w:p>
            <w:pPr>
              <w:keepNext w:val="0"/>
              <w:keepLines w:val="0"/>
              <w:widowControl/>
              <w:suppressLineNumbers w:val="0"/>
              <w:jc w:val="left"/>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（六)加强危险货物运输车辆管理，严格限制其行驶速度,防止因道路交通事故污染环境，降低环境风险:制定突发环境事件应急预案并报环境保护行政主管部门备案，储备必要的应急物资，开展应急演练。</w:t>
            </w:r>
          </w:p>
        </w:tc>
        <w:tc>
          <w:tcPr>
            <w:tcW w:w="2204" w:type="dxa"/>
            <w:tcBorders>
              <w:right w:val="nil"/>
            </w:tcBorders>
            <w:vAlign w:val="top"/>
          </w:tcPr>
          <w:p>
            <w:pPr>
              <w:keepNext w:val="0"/>
              <w:keepLines w:val="0"/>
              <w:widowControl/>
              <w:suppressLineNumbers w:val="0"/>
              <w:jc w:val="left"/>
              <w:rPr>
                <w:rFonts w:hint="default"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加强了对装载有毒有害物质、油类车辆及其他危险品的运输管理，限制运输危险品车辆的车速，业主单位暂未制定环境应急预案。</w:t>
            </w:r>
          </w:p>
        </w:tc>
      </w:tr>
    </w:tbl>
    <w:p>
      <w:pPr>
        <w:spacing w:line="160" w:lineRule="exact"/>
        <w:rPr>
          <w:rFonts w:ascii="Arial"/>
          <w:sz w:val="13"/>
        </w:rPr>
      </w:pPr>
    </w:p>
    <w:p/>
    <w:p>
      <w:pPr>
        <w:spacing w:line="147" w:lineRule="exact"/>
      </w:pPr>
    </w:p>
    <w:p>
      <w:pPr>
        <w:rPr>
          <w:rFonts w:ascii="Arial"/>
          <w:sz w:val="21"/>
        </w:rPr>
      </w:pPr>
    </w:p>
    <w:p>
      <w:pPr>
        <w:sectPr>
          <w:footerReference r:id="rId12" w:type="default"/>
          <w:pgSz w:w="11900" w:h="16840"/>
          <w:pgMar w:top="1045" w:right="1700" w:bottom="1345" w:left="1680" w:header="865" w:footer="1196" w:gutter="0"/>
          <w:pgNumType w:fmt="decimal"/>
          <w:cols w:space="720" w:num="1"/>
        </w:sectPr>
      </w:pPr>
    </w:p>
    <w:p>
      <w:pPr>
        <w:pStyle w:val="4"/>
        <w:keepNext/>
        <w:keepLines/>
        <w:pageBreakBefore w:val="0"/>
        <w:widowControl/>
        <w:numPr>
          <w:ilvl w:val="0"/>
          <w:numId w:val="4"/>
        </w:numPr>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32"/>
          <w:szCs w:val="16"/>
          <w:lang w:val="en-US" w:eastAsia="zh-CN"/>
        </w:rPr>
      </w:pPr>
      <w:r>
        <w:rPr>
          <w:rFonts w:hint="eastAsia"/>
          <w:b/>
          <w:sz w:val="32"/>
          <w:szCs w:val="16"/>
        </w:rPr>
        <w:t xml:space="preserve"> </w:t>
      </w:r>
      <w:bookmarkStart w:id="19" w:name="_Toc29121"/>
      <w:r>
        <w:rPr>
          <w:rFonts w:hint="eastAsia"/>
          <w:b/>
          <w:sz w:val="32"/>
          <w:szCs w:val="16"/>
        </w:rPr>
        <w:t>环境影响</w:t>
      </w:r>
      <w:r>
        <w:rPr>
          <w:rFonts w:hint="eastAsia"/>
          <w:b/>
          <w:sz w:val="32"/>
          <w:szCs w:val="16"/>
          <w:lang w:val="en-US" w:eastAsia="zh-CN"/>
        </w:rPr>
        <w:t>调查分析</w:t>
      </w:r>
      <w:bookmarkEnd w:id="19"/>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lang w:val="en-US" w:eastAsia="zh-CN"/>
        </w:rPr>
      </w:pPr>
      <w:bookmarkStart w:id="20" w:name="_Toc29092"/>
      <w:r>
        <w:rPr>
          <w:rFonts w:hint="eastAsia"/>
          <w:b/>
          <w:sz w:val="28"/>
          <w:szCs w:val="20"/>
          <w:lang w:val="en-US" w:eastAsia="zh-CN"/>
        </w:rPr>
        <w:t>5.1生态环境影响调查与分析</w:t>
      </w:r>
      <w:bookmarkEnd w:id="20"/>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default"/>
          <w:b/>
          <w:sz w:val="24"/>
          <w:szCs w:val="18"/>
          <w:lang w:val="en-US" w:eastAsia="zh-CN"/>
        </w:rPr>
      </w:pPr>
      <w:r>
        <w:rPr>
          <w:rFonts w:hint="eastAsia"/>
          <w:b/>
          <w:sz w:val="24"/>
          <w:szCs w:val="18"/>
          <w:lang w:val="en-US" w:eastAsia="zh-CN"/>
        </w:rPr>
        <w:t>5.1.1土地利用生态影响调查与分析</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项目占地包括永久占地和施工临时占地。本工程总用地面积为 406.87hm²，其中，永久占地面积为 221.03hm</w:t>
      </w:r>
      <w:r>
        <w:rPr>
          <w:rFonts w:hint="eastAsia"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，临时占地面积为 192.34hm</w:t>
      </w:r>
      <w:r>
        <w:rPr>
          <w:rFonts w:hint="eastAsia"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；占地类型主要为耕地、园林、林地、草地、交通运输用地、仓储及工矿用地、居住用地、水域及水利设施用地和其他土地等。</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项目的建设不可避免的会占用自贡市境内部分土地，改变原有农业用地和林业用地的功能。</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根据调查，本项目在道路红线内两侧进行绿化景观建设，共计绿化面积 249142hm</w:t>
      </w:r>
      <w:r>
        <w:rPr>
          <w:rFonts w:hint="eastAsia"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；以及在道路红线外两侧13.5m 内区域进行生态修复绿化景观工程，共计绿化面积为 665631hm</w:t>
      </w:r>
      <w:r>
        <w:rPr>
          <w:rFonts w:hint="eastAsia"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本项目在道路上进行的系统绿化工程后，可以在很大程度上弥补施工所造成的一定的生态损失，从而使工程建设的生态损失大大减少，在更大程度上改善项目所在区域生态环境质量。</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道路是为社会各行各业服务的，该项目的实施有利于加快项目所在区域的基础设施建设，一定程度上促进自贡市又快又好地发展，可以从一定程度上改善当地居民生活环境、为居民出行提供便利，从而在一定程度上为保障自贡市交通的便捷快速发挥重要作用。因此，道路占用的土地也实现了本身价值的特殊转化，相应的土地价值也会得到提升，带动沿线经济发展，无论是从土地实际使用面积还是土地所实现的社会经济效益来看，道路用地对土地资源的影响不大小。</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default"/>
          <w:b/>
          <w:sz w:val="24"/>
          <w:szCs w:val="18"/>
          <w:lang w:val="en-US" w:eastAsia="zh-CN"/>
        </w:rPr>
      </w:pPr>
      <w:r>
        <w:rPr>
          <w:rFonts w:hint="eastAsia"/>
          <w:b/>
          <w:sz w:val="24"/>
          <w:szCs w:val="18"/>
          <w:lang w:val="en-US" w:eastAsia="zh-CN"/>
        </w:rPr>
        <w:t>5.1.2施工活动生态影响调查与分析</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工程施工对生态环境的影响主要体现在工程运输车辆产生的扬尘:施工过程中挥洒的扬尘等会对工程区周边自然植被生长带来一定程度的影响</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根据现场调查，项目施工期所有进出场运输车辆均采取了遮盖措施，基本实现密闭运输:施工现场全部采用预拌沥青混凝土和预拌砂浆，不在现场设置拌合站，施工期基本外购商混进行施工；同时，项目施工期间配备洒水车，定期对项目区域内实施洒水降尘。通过落实上述抑尘措施，项目施工未对区域生态环境造成较大影响。</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5.1.3生物多样性影响查与分析</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根据现场调查，项目地为典型的城市及农村生态系统，受人类活动影响很大。项目建设区域由于长期的人类频繁活动，地表覆盖植被主要为人工绿化植被，无原有大型植被和珍稀植物；动物以田鼠、麻雀等一些常见动植物，亦无大型野生动物活动的踪迹。项目拟建地生态环境质量一般。因此，本项目施工期对生态环境的影响主要体现在以下几点： </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1</w:t>
      </w:r>
      <w:r>
        <w:rPr>
          <w:rFonts w:hint="eastAsia" w:ascii="宋体" w:hAnsi="宋体" w:eastAsia="宋体" w:cs="宋体"/>
          <w:snapToGrid w:val="0"/>
          <w:color w:val="000000"/>
          <w:kern w:val="0"/>
          <w:sz w:val="24"/>
          <w:szCs w:val="24"/>
          <w:lang w:val="en-US" w:eastAsia="zh-CN" w:bidi="ar"/>
        </w:rPr>
        <w:t xml:space="preserve">）土石方的开挖和路基填筑等工序使沿线的植被遭到破坏，从而使沿线地区的局部生态结构发生 一定的变化。开挖后裸露地表在雨水及地表径流的作用下将引起大量的水土流失，造成农田被埋压，土壤肥力下降。 </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2</w:t>
      </w:r>
      <w:r>
        <w:rPr>
          <w:rFonts w:hint="eastAsia" w:ascii="宋体" w:hAnsi="宋体" w:eastAsia="宋体" w:cs="宋体"/>
          <w:snapToGrid w:val="0"/>
          <w:color w:val="000000"/>
          <w:kern w:val="0"/>
          <w:sz w:val="24"/>
          <w:szCs w:val="24"/>
          <w:lang w:val="en-US" w:eastAsia="zh-CN" w:bidi="ar"/>
        </w:rPr>
        <w:t xml:space="preserve">）本工程全线共设 </w:t>
      </w:r>
      <w:r>
        <w:rPr>
          <w:rFonts w:hint="default" w:ascii="宋体" w:hAnsi="宋体" w:eastAsia="宋体" w:cs="宋体"/>
          <w:snapToGrid w:val="0"/>
          <w:color w:val="000000"/>
          <w:kern w:val="0"/>
          <w:sz w:val="24"/>
          <w:szCs w:val="24"/>
          <w:lang w:val="en-US" w:eastAsia="zh-CN" w:bidi="ar"/>
        </w:rPr>
        <w:t xml:space="preserve">7 </w:t>
      </w:r>
      <w:r>
        <w:rPr>
          <w:rFonts w:hint="eastAsia" w:ascii="宋体" w:hAnsi="宋体" w:eastAsia="宋体" w:cs="宋体"/>
          <w:snapToGrid w:val="0"/>
          <w:color w:val="000000"/>
          <w:kern w:val="0"/>
          <w:sz w:val="24"/>
          <w:szCs w:val="24"/>
          <w:lang w:val="en-US" w:eastAsia="zh-CN" w:bidi="ar"/>
        </w:rPr>
        <w:t xml:space="preserve">处临时表土堆场和 </w:t>
      </w:r>
      <w:r>
        <w:rPr>
          <w:rFonts w:hint="default" w:ascii="宋体" w:hAnsi="宋体" w:eastAsia="宋体" w:cs="宋体"/>
          <w:snapToGrid w:val="0"/>
          <w:color w:val="000000"/>
          <w:kern w:val="0"/>
          <w:sz w:val="24"/>
          <w:szCs w:val="24"/>
          <w:lang w:val="en-US" w:eastAsia="zh-CN" w:bidi="ar"/>
        </w:rPr>
        <w:t xml:space="preserve">5 </w:t>
      </w:r>
      <w:r>
        <w:rPr>
          <w:rFonts w:hint="eastAsia" w:ascii="宋体" w:hAnsi="宋体" w:eastAsia="宋体" w:cs="宋体"/>
          <w:snapToGrid w:val="0"/>
          <w:color w:val="000000"/>
          <w:kern w:val="0"/>
          <w:sz w:val="24"/>
          <w:szCs w:val="24"/>
          <w:lang w:val="en-US" w:eastAsia="zh-CN" w:bidi="ar"/>
        </w:rPr>
        <w:t xml:space="preserve">处施工工场。如设置在视野范围内，将会对周围景观会产生影响。 </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3</w:t>
      </w:r>
      <w:r>
        <w:rPr>
          <w:rFonts w:hint="eastAsia" w:ascii="宋体" w:hAnsi="宋体" w:eastAsia="宋体" w:cs="宋体"/>
          <w:snapToGrid w:val="0"/>
          <w:color w:val="000000"/>
          <w:kern w:val="0"/>
          <w:sz w:val="24"/>
          <w:szCs w:val="24"/>
          <w:lang w:val="en-US" w:eastAsia="zh-CN" w:bidi="ar"/>
        </w:rPr>
        <w:t xml:space="preserve">）车辆运行、路基和边坡加固等施工活动产生的噪声会对野生动物造成负面影响；在施工过程中施工人员对重点保护野生植物的不认识而砍伐。本项目涉及区域人类活动频繁，经当地林业部门相关人员咨询，公路沿线无集中重点保护野生动植物及其生境分布。 </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w:t>
      </w:r>
      <w:r>
        <w:rPr>
          <w:rFonts w:hint="default" w:ascii="宋体" w:hAnsi="宋体" w:eastAsia="宋体" w:cs="宋体"/>
          <w:snapToGrid w:val="0"/>
          <w:color w:val="000000"/>
          <w:kern w:val="0"/>
          <w:sz w:val="24"/>
          <w:szCs w:val="24"/>
          <w:lang w:val="en-US" w:eastAsia="zh-CN" w:bidi="ar"/>
        </w:rPr>
        <w:t>4</w:t>
      </w:r>
      <w:r>
        <w:rPr>
          <w:rFonts w:hint="eastAsia" w:ascii="宋体" w:hAnsi="宋体" w:eastAsia="宋体" w:cs="宋体"/>
          <w:snapToGrid w:val="0"/>
          <w:color w:val="000000"/>
          <w:kern w:val="0"/>
          <w:sz w:val="24"/>
          <w:szCs w:val="24"/>
          <w:lang w:val="en-US" w:eastAsia="zh-CN" w:bidi="ar"/>
        </w:rPr>
        <w:t>）项目建设时大量的开挖、填筑等施工行为，在一定程度上将破坏项目沿线区域的原有自然景观。</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本项目</w:t>
      </w:r>
      <w:r>
        <w:rPr>
          <w:rFonts w:ascii="宋体" w:hAnsi="宋体" w:eastAsia="宋体" w:cs="宋体"/>
          <w:spacing w:val="-3"/>
          <w:sz w:val="24"/>
          <w:szCs w:val="24"/>
        </w:rPr>
        <w:t>通过在建成后道路绿化带和边坡绿化，实行空地绿化、立体种植或者立体绿化，实现防治水土流失和景观生态功能得到修复，并可满足区域植被生态功能的平衡。工程建设对项目选址区植被生态影响不大。工程陆域部分以</w:t>
      </w:r>
      <w:r>
        <w:rPr>
          <w:rFonts w:hint="eastAsia" w:ascii="宋体" w:hAnsi="宋体" w:eastAsia="宋体" w:cs="宋体"/>
          <w:spacing w:val="-3"/>
          <w:sz w:val="24"/>
          <w:szCs w:val="24"/>
          <w:lang w:val="en-US" w:eastAsia="zh-CN"/>
        </w:rPr>
        <w:t>城市</w:t>
      </w:r>
      <w:r>
        <w:rPr>
          <w:rFonts w:ascii="宋体" w:hAnsi="宋体" w:eastAsia="宋体" w:cs="宋体"/>
          <w:spacing w:val="-3"/>
          <w:sz w:val="24"/>
          <w:szCs w:val="24"/>
        </w:rPr>
        <w:t>为主，没有珍稀和国家、地方保护动物，本项目的建设</w:t>
      </w:r>
      <w:r>
        <w:rPr>
          <w:rFonts w:ascii="宋体" w:hAnsi="宋体" w:eastAsia="宋体" w:cs="宋体"/>
          <w:spacing w:val="-2"/>
          <w:sz w:val="24"/>
          <w:szCs w:val="24"/>
        </w:rPr>
        <w:t>对动物不会造成大的影响，不会对路域形成重大生态分隔</w:t>
      </w:r>
      <w:r>
        <w:rPr>
          <w:rFonts w:hint="eastAsia" w:ascii="宋体" w:hAnsi="宋体" w:eastAsia="宋体" w:cs="宋体"/>
          <w:snapToGrid w:val="0"/>
          <w:color w:val="000000"/>
          <w:kern w:val="0"/>
          <w:sz w:val="24"/>
          <w:szCs w:val="24"/>
          <w:lang w:val="en-US" w:eastAsia="zh-CN" w:bidi="ar"/>
        </w:rPr>
        <w:t>因此，项目的实施对区域生物多样性基本不存在影响。综上分析，项目的实施基本未对区域生物多样性产生影响。</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5.1.4水土流失影响调查与分析</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项目施工期基础开挖的土石方将使地表原有地貌遭到不同程度的破坏，地表裸露，从而使沿线区域的生态结构发生变化。在挖方地段，新增水土流失主要是由于原生土石及地貌受到扰动，土体凝聚力减弱，可蚀性和增强，加之原地表植被破坏，失去植被的抗侵蚀 </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能力；填方地段则是堆积体相对松散，容易在雨水重力作用下发生水力侵蚀和垮塌等，从 而造成水土流失。根据本项目水土保持方案，项目因施工新增水土流失量为 </w:t>
      </w:r>
      <w:r>
        <w:rPr>
          <w:rFonts w:hint="default" w:ascii="宋体" w:hAnsi="宋体" w:eastAsia="宋体" w:cs="宋体"/>
          <w:snapToGrid w:val="0"/>
          <w:color w:val="000000"/>
          <w:kern w:val="0"/>
          <w:sz w:val="24"/>
          <w:szCs w:val="24"/>
          <w:lang w:val="en-US" w:eastAsia="zh-CN" w:bidi="ar"/>
        </w:rPr>
        <w:t>24.29</w:t>
      </w:r>
      <w:r>
        <w:rPr>
          <w:rFonts w:hint="eastAsia" w:ascii="宋体" w:hAnsi="宋体" w:eastAsia="宋体" w:cs="宋体"/>
          <w:snapToGrid w:val="0"/>
          <w:color w:val="000000"/>
          <w:kern w:val="0"/>
          <w:sz w:val="24"/>
          <w:szCs w:val="24"/>
          <w:lang w:val="en-US" w:eastAsia="zh-CN" w:bidi="ar"/>
        </w:rPr>
        <w:t>万</w:t>
      </w:r>
      <w:r>
        <w:rPr>
          <w:rFonts w:hint="default" w:ascii="宋体" w:hAnsi="宋体" w:eastAsia="宋体" w:cs="宋体"/>
          <w:snapToGrid w:val="0"/>
          <w:color w:val="000000"/>
          <w:kern w:val="0"/>
          <w:sz w:val="24"/>
          <w:szCs w:val="24"/>
          <w:lang w:val="en-US" w:eastAsia="zh-CN" w:bidi="ar"/>
        </w:rPr>
        <w:t>t</w:t>
      </w:r>
      <w:r>
        <w:rPr>
          <w:rFonts w:hint="eastAsia" w:ascii="宋体" w:hAnsi="宋体" w:eastAsia="宋体" w:cs="宋体"/>
          <w:snapToGrid w:val="0"/>
          <w:color w:val="000000"/>
          <w:kern w:val="0"/>
          <w:sz w:val="24"/>
          <w:szCs w:val="24"/>
          <w:lang w:val="en-US" w:eastAsia="zh-CN" w:bidi="ar"/>
        </w:rPr>
        <w:t>。</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根据现场调查，本项目实施过程中，主要采取了以下防水土流失措施</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①工程措施</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设置了路面工程区截水沟</w:t>
      </w:r>
      <w:r>
        <w:rPr>
          <w:rFonts w:hint="default" w:ascii="宋体" w:hAnsi="宋体" w:eastAsia="宋体" w:cs="宋体"/>
          <w:snapToGrid w:val="0"/>
          <w:color w:val="000000"/>
          <w:kern w:val="0"/>
          <w:sz w:val="24"/>
          <w:szCs w:val="24"/>
          <w:lang w:val="en-US" w:eastAsia="zh-CN" w:bidi="ar"/>
        </w:rPr>
        <w:t>34023m</w:t>
      </w:r>
      <w:r>
        <w:rPr>
          <w:rFonts w:hint="eastAsia" w:ascii="宋体" w:hAnsi="宋体" w:eastAsia="宋体" w:cs="宋体"/>
          <w:snapToGrid w:val="0"/>
          <w:color w:val="000000"/>
          <w:kern w:val="0"/>
          <w:sz w:val="24"/>
          <w:szCs w:val="24"/>
          <w:lang w:val="en-US" w:eastAsia="zh-CN" w:bidi="ar"/>
        </w:rPr>
        <w:t>，排水沟</w:t>
      </w:r>
      <w:r>
        <w:rPr>
          <w:rFonts w:hint="default" w:ascii="宋体" w:hAnsi="宋体" w:eastAsia="宋体" w:cs="宋体"/>
          <w:snapToGrid w:val="0"/>
          <w:color w:val="000000"/>
          <w:kern w:val="0"/>
          <w:sz w:val="24"/>
          <w:szCs w:val="24"/>
          <w:lang w:val="en-US" w:eastAsia="zh-CN" w:bidi="ar"/>
        </w:rPr>
        <w:t>48604m</w:t>
      </w:r>
      <w:r>
        <w:rPr>
          <w:rFonts w:hint="eastAsia" w:ascii="宋体" w:hAnsi="宋体" w:eastAsia="宋体" w:cs="宋体"/>
          <w:snapToGrid w:val="0"/>
          <w:color w:val="000000"/>
          <w:kern w:val="0"/>
          <w:sz w:val="24"/>
          <w:szCs w:val="24"/>
          <w:lang w:val="en-US" w:eastAsia="zh-CN" w:bidi="ar"/>
        </w:rPr>
        <w:t>；生态修复带防治区菱形网格护坡</w:t>
      </w:r>
      <w:r>
        <w:rPr>
          <w:rFonts w:hint="default" w:ascii="宋体" w:hAnsi="宋体" w:eastAsia="宋体" w:cs="宋体"/>
          <w:snapToGrid w:val="0"/>
          <w:color w:val="000000"/>
          <w:kern w:val="0"/>
          <w:sz w:val="24"/>
          <w:szCs w:val="24"/>
          <w:lang w:val="en-US" w:eastAsia="zh-CN" w:bidi="ar"/>
        </w:rPr>
        <w:t>220891m</w:t>
      </w:r>
      <w:r>
        <w:rPr>
          <w:rFonts w:hint="default"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 xml:space="preserve">，锚杆框架防护 </w:t>
      </w:r>
      <w:r>
        <w:rPr>
          <w:rFonts w:hint="default" w:ascii="宋体" w:hAnsi="宋体" w:eastAsia="宋体" w:cs="宋体"/>
          <w:snapToGrid w:val="0"/>
          <w:color w:val="000000"/>
          <w:kern w:val="0"/>
          <w:sz w:val="24"/>
          <w:szCs w:val="24"/>
          <w:lang w:val="en-US" w:eastAsia="zh-CN" w:bidi="ar"/>
        </w:rPr>
        <w:t>48174m</w:t>
      </w:r>
      <w:r>
        <w:rPr>
          <w:rFonts w:hint="default" w:ascii="宋体" w:hAnsi="宋体" w:eastAsia="宋体" w:cs="宋体"/>
          <w:snapToGrid w:val="0"/>
          <w:color w:val="000000"/>
          <w:kern w:val="0"/>
          <w:sz w:val="24"/>
          <w:szCs w:val="24"/>
          <w:vertAlign w:val="superscript"/>
          <w:lang w:val="en-US" w:eastAsia="zh-CN" w:bidi="ar"/>
        </w:rPr>
        <w:t xml:space="preserve">2 </w:t>
      </w:r>
      <w:r>
        <w:rPr>
          <w:rFonts w:hint="eastAsia" w:ascii="宋体" w:hAnsi="宋体" w:eastAsia="宋体" w:cs="宋体"/>
          <w:snapToGrid w:val="0"/>
          <w:color w:val="000000"/>
          <w:kern w:val="0"/>
          <w:sz w:val="24"/>
          <w:szCs w:val="24"/>
          <w:lang w:val="en-US" w:eastAsia="zh-CN" w:bidi="ar"/>
        </w:rPr>
        <w:t>；临时表土堆场防治区浆砌片石排水沟</w:t>
      </w:r>
      <w:r>
        <w:rPr>
          <w:rFonts w:hint="default" w:ascii="宋体" w:hAnsi="宋体" w:eastAsia="宋体" w:cs="宋体"/>
          <w:snapToGrid w:val="0"/>
          <w:color w:val="000000"/>
          <w:kern w:val="0"/>
          <w:sz w:val="24"/>
          <w:szCs w:val="24"/>
          <w:lang w:val="en-US" w:eastAsia="zh-CN" w:bidi="ar"/>
        </w:rPr>
        <w:t>4027m</w:t>
      </w:r>
      <w:r>
        <w:rPr>
          <w:rFonts w:hint="eastAsia" w:ascii="宋体" w:hAnsi="宋体" w:eastAsia="宋体" w:cs="宋体"/>
          <w:snapToGrid w:val="0"/>
          <w:color w:val="000000"/>
          <w:kern w:val="0"/>
          <w:sz w:val="24"/>
          <w:szCs w:val="24"/>
          <w:lang w:val="en-US" w:eastAsia="zh-CN" w:bidi="ar"/>
        </w:rPr>
        <w:t>，拦渣墙</w:t>
      </w:r>
      <w:r>
        <w:rPr>
          <w:rFonts w:hint="default" w:ascii="宋体" w:hAnsi="宋体" w:eastAsia="宋体" w:cs="宋体"/>
          <w:snapToGrid w:val="0"/>
          <w:color w:val="000000"/>
          <w:kern w:val="0"/>
          <w:sz w:val="24"/>
          <w:szCs w:val="24"/>
          <w:lang w:val="en-US" w:eastAsia="zh-CN" w:bidi="ar"/>
        </w:rPr>
        <w:t>1941m</w:t>
      </w:r>
      <w:r>
        <w:rPr>
          <w:rFonts w:hint="eastAsia" w:ascii="宋体" w:hAnsi="宋体" w:eastAsia="宋体" w:cs="宋体"/>
          <w:snapToGrid w:val="0"/>
          <w:color w:val="000000"/>
          <w:kern w:val="0"/>
          <w:sz w:val="24"/>
          <w:szCs w:val="24"/>
          <w:lang w:val="en-US" w:eastAsia="zh-CN" w:bidi="ar"/>
        </w:rPr>
        <w:t>；施工区防治区浆砌片石排水沟</w:t>
      </w:r>
      <w:r>
        <w:rPr>
          <w:rFonts w:hint="default" w:ascii="宋体" w:hAnsi="宋体" w:eastAsia="宋体" w:cs="宋体"/>
          <w:snapToGrid w:val="0"/>
          <w:color w:val="000000"/>
          <w:kern w:val="0"/>
          <w:sz w:val="24"/>
          <w:szCs w:val="24"/>
          <w:lang w:val="en-US" w:eastAsia="zh-CN" w:bidi="ar"/>
        </w:rPr>
        <w:t>710m</w:t>
      </w:r>
      <w:r>
        <w:rPr>
          <w:rFonts w:hint="eastAsia" w:ascii="宋体" w:hAnsi="宋体" w:eastAsia="宋体" w:cs="宋体"/>
          <w:snapToGrid w:val="0"/>
          <w:color w:val="000000"/>
          <w:kern w:val="0"/>
          <w:sz w:val="24"/>
          <w:szCs w:val="24"/>
          <w:lang w:val="en-US" w:eastAsia="zh-CN" w:bidi="ar"/>
        </w:rPr>
        <w:t>。共计截水沟</w:t>
      </w:r>
      <w:r>
        <w:rPr>
          <w:rFonts w:hint="default" w:ascii="宋体" w:hAnsi="宋体" w:eastAsia="宋体" w:cs="宋体"/>
          <w:snapToGrid w:val="0"/>
          <w:color w:val="000000"/>
          <w:kern w:val="0"/>
          <w:sz w:val="24"/>
          <w:szCs w:val="24"/>
          <w:lang w:val="en-US" w:eastAsia="zh-CN" w:bidi="ar"/>
        </w:rPr>
        <w:t>34023m</w:t>
      </w:r>
      <w:r>
        <w:rPr>
          <w:rFonts w:hint="eastAsia" w:ascii="宋体" w:hAnsi="宋体" w:eastAsia="宋体" w:cs="宋体"/>
          <w:snapToGrid w:val="0"/>
          <w:color w:val="000000"/>
          <w:kern w:val="0"/>
          <w:sz w:val="24"/>
          <w:szCs w:val="24"/>
          <w:lang w:val="en-US" w:eastAsia="zh-CN" w:bidi="ar"/>
        </w:rPr>
        <w:t>，排水沟</w:t>
      </w:r>
      <w:r>
        <w:rPr>
          <w:rFonts w:hint="default" w:ascii="宋体" w:hAnsi="宋体" w:eastAsia="宋体" w:cs="宋体"/>
          <w:snapToGrid w:val="0"/>
          <w:color w:val="000000"/>
          <w:kern w:val="0"/>
          <w:sz w:val="24"/>
          <w:szCs w:val="24"/>
          <w:lang w:val="en-US" w:eastAsia="zh-CN" w:bidi="ar"/>
        </w:rPr>
        <w:t>53341m</w:t>
      </w:r>
      <w:r>
        <w:rPr>
          <w:rFonts w:hint="eastAsia" w:ascii="宋体" w:hAnsi="宋体" w:eastAsia="宋体" w:cs="宋体"/>
          <w:snapToGrid w:val="0"/>
          <w:color w:val="000000"/>
          <w:kern w:val="0"/>
          <w:sz w:val="24"/>
          <w:szCs w:val="24"/>
          <w:lang w:val="en-US" w:eastAsia="zh-CN" w:bidi="ar"/>
        </w:rPr>
        <w:t xml:space="preserve">，菱形网格护坡 </w:t>
      </w:r>
      <w:r>
        <w:rPr>
          <w:rFonts w:hint="default" w:ascii="宋体" w:hAnsi="宋体" w:eastAsia="宋体" w:cs="宋体"/>
          <w:snapToGrid w:val="0"/>
          <w:color w:val="000000"/>
          <w:kern w:val="0"/>
          <w:sz w:val="24"/>
          <w:szCs w:val="24"/>
          <w:lang w:val="en-US" w:eastAsia="zh-CN" w:bidi="ar"/>
        </w:rPr>
        <w:t>220891m</w:t>
      </w:r>
      <w:r>
        <w:rPr>
          <w:rFonts w:hint="default"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 xml:space="preserve">，锚杆框架防护 </w:t>
      </w:r>
      <w:r>
        <w:rPr>
          <w:rFonts w:hint="default" w:ascii="宋体" w:hAnsi="宋体" w:eastAsia="宋体" w:cs="宋体"/>
          <w:snapToGrid w:val="0"/>
          <w:color w:val="000000"/>
          <w:kern w:val="0"/>
          <w:sz w:val="24"/>
          <w:szCs w:val="24"/>
          <w:lang w:val="en-US" w:eastAsia="zh-CN" w:bidi="ar"/>
        </w:rPr>
        <w:t>48174 m2</w:t>
      </w:r>
      <w:r>
        <w:rPr>
          <w:rFonts w:hint="eastAsia" w:ascii="宋体" w:hAnsi="宋体" w:eastAsia="宋体" w:cs="宋体"/>
          <w:snapToGrid w:val="0"/>
          <w:color w:val="000000"/>
          <w:kern w:val="0"/>
          <w:sz w:val="24"/>
          <w:szCs w:val="24"/>
          <w:lang w:val="en-US" w:eastAsia="zh-CN" w:bidi="ar"/>
        </w:rPr>
        <w:t xml:space="preserve">，拦渣墙 </w:t>
      </w:r>
      <w:r>
        <w:rPr>
          <w:rFonts w:hint="default" w:ascii="宋体" w:hAnsi="宋体" w:eastAsia="宋体" w:cs="宋体"/>
          <w:snapToGrid w:val="0"/>
          <w:color w:val="000000"/>
          <w:kern w:val="0"/>
          <w:sz w:val="24"/>
          <w:szCs w:val="24"/>
          <w:lang w:val="en-US" w:eastAsia="zh-CN" w:bidi="ar"/>
        </w:rPr>
        <w:t>1941m</w:t>
      </w:r>
      <w:r>
        <w:rPr>
          <w:rFonts w:hint="eastAsia" w:ascii="宋体" w:hAnsi="宋体" w:eastAsia="宋体" w:cs="宋体"/>
          <w:snapToGrid w:val="0"/>
          <w:color w:val="000000"/>
          <w:kern w:val="0"/>
          <w:sz w:val="24"/>
          <w:szCs w:val="24"/>
          <w:lang w:val="en-US" w:eastAsia="zh-CN" w:bidi="ar"/>
        </w:rPr>
        <w:t xml:space="preserve">。 </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②临时措施 </w:t>
      </w:r>
    </w:p>
    <w:p>
      <w:pPr>
        <w:spacing w:before="79" w:line="361" w:lineRule="auto"/>
        <w:ind w:right="50" w:firstLine="500"/>
        <w:jc w:val="both"/>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 xml:space="preserve">路面工程区防治区土质截排水沟 </w:t>
      </w:r>
      <w:r>
        <w:rPr>
          <w:rFonts w:hint="default" w:ascii="宋体" w:hAnsi="宋体" w:eastAsia="宋体" w:cs="宋体"/>
          <w:snapToGrid w:val="0"/>
          <w:color w:val="000000"/>
          <w:kern w:val="0"/>
          <w:sz w:val="24"/>
          <w:szCs w:val="24"/>
          <w:lang w:val="en-US" w:eastAsia="zh-CN" w:bidi="ar"/>
        </w:rPr>
        <w:t>15318m</w:t>
      </w:r>
      <w:r>
        <w:rPr>
          <w:rFonts w:hint="eastAsia" w:ascii="宋体" w:hAnsi="宋体" w:eastAsia="宋体" w:cs="宋体"/>
          <w:snapToGrid w:val="0"/>
          <w:color w:val="000000"/>
          <w:kern w:val="0"/>
          <w:sz w:val="24"/>
          <w:szCs w:val="24"/>
          <w:lang w:val="en-US" w:eastAsia="zh-CN" w:bidi="ar"/>
        </w:rPr>
        <w:t xml:space="preserve">，沉沙池 </w:t>
      </w:r>
      <w:r>
        <w:rPr>
          <w:rFonts w:hint="default" w:ascii="宋体" w:hAnsi="宋体" w:eastAsia="宋体" w:cs="宋体"/>
          <w:snapToGrid w:val="0"/>
          <w:color w:val="000000"/>
          <w:kern w:val="0"/>
          <w:sz w:val="24"/>
          <w:szCs w:val="24"/>
          <w:lang w:val="en-US" w:eastAsia="zh-CN" w:bidi="ar"/>
        </w:rPr>
        <w:t xml:space="preserve">77 </w:t>
      </w:r>
      <w:r>
        <w:rPr>
          <w:rFonts w:hint="eastAsia" w:ascii="宋体" w:hAnsi="宋体" w:eastAsia="宋体" w:cs="宋体"/>
          <w:snapToGrid w:val="0"/>
          <w:color w:val="000000"/>
          <w:kern w:val="0"/>
          <w:sz w:val="24"/>
          <w:szCs w:val="24"/>
          <w:lang w:val="en-US" w:eastAsia="zh-CN" w:bidi="ar"/>
        </w:rPr>
        <w:t>个，防雨布</w:t>
      </w:r>
      <w:r>
        <w:rPr>
          <w:rFonts w:hint="default" w:ascii="宋体" w:hAnsi="宋体" w:eastAsia="宋体" w:cs="宋体"/>
          <w:snapToGrid w:val="0"/>
          <w:color w:val="000000"/>
          <w:kern w:val="0"/>
          <w:sz w:val="24"/>
          <w:szCs w:val="24"/>
          <w:lang w:val="en-US" w:eastAsia="zh-CN" w:bidi="ar"/>
        </w:rPr>
        <w:t>14.23</w:t>
      </w:r>
      <w:r>
        <w:rPr>
          <w:rFonts w:hint="eastAsia" w:ascii="宋体" w:hAnsi="宋体" w:eastAsia="宋体" w:cs="宋体"/>
          <w:snapToGrid w:val="0"/>
          <w:color w:val="000000"/>
          <w:kern w:val="0"/>
          <w:sz w:val="24"/>
          <w:szCs w:val="24"/>
          <w:lang w:val="en-US" w:eastAsia="zh-CN" w:bidi="ar"/>
        </w:rPr>
        <w:t>万</w:t>
      </w:r>
      <w:r>
        <w:rPr>
          <w:rFonts w:hint="default" w:ascii="宋体" w:hAnsi="宋体" w:eastAsia="宋体" w:cs="宋体"/>
          <w:snapToGrid w:val="0"/>
          <w:color w:val="000000"/>
          <w:kern w:val="0"/>
          <w:sz w:val="24"/>
          <w:szCs w:val="24"/>
          <w:lang w:val="en-US" w:eastAsia="zh-CN" w:bidi="ar"/>
        </w:rPr>
        <w:t>m</w:t>
      </w:r>
      <w:r>
        <w:rPr>
          <w:rFonts w:hint="default" w:ascii="宋体" w:hAnsi="宋体" w:eastAsia="宋体" w:cs="宋体"/>
          <w:snapToGrid w:val="0"/>
          <w:color w:val="000000"/>
          <w:kern w:val="0"/>
          <w:sz w:val="24"/>
          <w:szCs w:val="24"/>
          <w:vertAlign w:val="superscript"/>
          <w:lang w:val="en-US" w:eastAsia="zh-CN" w:bidi="ar"/>
        </w:rPr>
        <w:t xml:space="preserve"> 2</w:t>
      </w:r>
      <w:r>
        <w:rPr>
          <w:rFonts w:hint="eastAsia" w:ascii="宋体" w:hAnsi="宋体" w:eastAsia="宋体" w:cs="宋体"/>
          <w:snapToGrid w:val="0"/>
          <w:color w:val="000000"/>
          <w:kern w:val="0"/>
          <w:sz w:val="24"/>
          <w:szCs w:val="24"/>
          <w:lang w:val="en-US" w:eastAsia="zh-CN" w:bidi="ar"/>
        </w:rPr>
        <w:t xml:space="preserve">，复合土工膜 </w:t>
      </w:r>
      <w:r>
        <w:rPr>
          <w:rFonts w:hint="default" w:ascii="宋体" w:hAnsi="宋体" w:eastAsia="宋体" w:cs="宋体"/>
          <w:snapToGrid w:val="0"/>
          <w:color w:val="000000"/>
          <w:kern w:val="0"/>
          <w:sz w:val="24"/>
          <w:szCs w:val="24"/>
          <w:lang w:val="en-US" w:eastAsia="zh-CN" w:bidi="ar"/>
        </w:rPr>
        <w:t>18382m</w:t>
      </w:r>
      <w:r>
        <w:rPr>
          <w:rFonts w:hint="default" w:ascii="宋体" w:hAnsi="宋体" w:eastAsia="宋体" w:cs="宋体"/>
          <w:snapToGrid w:val="0"/>
          <w:color w:val="000000"/>
          <w:kern w:val="0"/>
          <w:sz w:val="24"/>
          <w:szCs w:val="24"/>
          <w:vertAlign w:val="superscript"/>
          <w:lang w:val="en-US" w:eastAsia="zh-CN" w:bidi="ar"/>
        </w:rPr>
        <w:t xml:space="preserve"> 2</w:t>
      </w:r>
      <w:r>
        <w:rPr>
          <w:rFonts w:hint="eastAsia" w:ascii="宋体" w:hAnsi="宋体" w:eastAsia="宋体" w:cs="宋体"/>
          <w:snapToGrid w:val="0"/>
          <w:color w:val="000000"/>
          <w:kern w:val="0"/>
          <w:sz w:val="24"/>
          <w:szCs w:val="24"/>
          <w:lang w:val="en-US" w:eastAsia="zh-CN" w:bidi="ar"/>
        </w:rPr>
        <w:t>。绿化区防治区土质截排水沟</w:t>
      </w:r>
      <w:r>
        <w:rPr>
          <w:rFonts w:hint="default" w:ascii="宋体" w:hAnsi="宋体" w:eastAsia="宋体" w:cs="宋体"/>
          <w:snapToGrid w:val="0"/>
          <w:color w:val="000000"/>
          <w:kern w:val="0"/>
          <w:sz w:val="24"/>
          <w:szCs w:val="24"/>
          <w:lang w:val="en-US" w:eastAsia="zh-CN" w:bidi="ar"/>
        </w:rPr>
        <w:t>11489m</w:t>
      </w:r>
      <w:r>
        <w:rPr>
          <w:rFonts w:hint="eastAsia" w:ascii="宋体" w:hAnsi="宋体" w:eastAsia="宋体" w:cs="宋体"/>
          <w:snapToGrid w:val="0"/>
          <w:color w:val="000000"/>
          <w:kern w:val="0"/>
          <w:sz w:val="24"/>
          <w:szCs w:val="24"/>
          <w:lang w:val="en-US" w:eastAsia="zh-CN" w:bidi="ar"/>
        </w:rPr>
        <w:t>，沉沙池</w:t>
      </w:r>
      <w:r>
        <w:rPr>
          <w:rFonts w:hint="default" w:ascii="宋体" w:hAnsi="宋体" w:eastAsia="宋体" w:cs="宋体"/>
          <w:snapToGrid w:val="0"/>
          <w:color w:val="000000"/>
          <w:kern w:val="0"/>
          <w:sz w:val="24"/>
          <w:szCs w:val="24"/>
          <w:lang w:val="en-US" w:eastAsia="zh-CN" w:bidi="ar"/>
        </w:rPr>
        <w:t>80</w:t>
      </w:r>
      <w:r>
        <w:rPr>
          <w:rFonts w:hint="eastAsia" w:ascii="宋体" w:hAnsi="宋体" w:eastAsia="宋体" w:cs="宋体"/>
          <w:snapToGrid w:val="0"/>
          <w:color w:val="000000"/>
          <w:kern w:val="0"/>
          <w:sz w:val="24"/>
          <w:szCs w:val="24"/>
          <w:lang w:val="en-US" w:eastAsia="zh-CN" w:bidi="ar"/>
        </w:rPr>
        <w:t xml:space="preserve">个，防雨布 </w:t>
      </w:r>
      <w:r>
        <w:rPr>
          <w:rFonts w:hint="default" w:ascii="宋体" w:hAnsi="宋体" w:eastAsia="宋体" w:cs="宋体"/>
          <w:snapToGrid w:val="0"/>
          <w:color w:val="000000"/>
          <w:kern w:val="0"/>
          <w:sz w:val="24"/>
          <w:szCs w:val="24"/>
          <w:lang w:val="en-US" w:eastAsia="zh-CN" w:bidi="ar"/>
        </w:rPr>
        <w:t>33.24</w:t>
      </w:r>
      <w:r>
        <w:rPr>
          <w:rFonts w:hint="eastAsia" w:ascii="宋体" w:hAnsi="宋体" w:eastAsia="宋体" w:cs="宋体"/>
          <w:snapToGrid w:val="0"/>
          <w:color w:val="000000"/>
          <w:kern w:val="0"/>
          <w:sz w:val="24"/>
          <w:szCs w:val="24"/>
          <w:lang w:val="en-US" w:eastAsia="zh-CN" w:bidi="ar"/>
        </w:rPr>
        <w:t>万</w:t>
      </w:r>
      <w:r>
        <w:rPr>
          <w:rFonts w:hint="default" w:ascii="宋体" w:hAnsi="宋体" w:eastAsia="宋体" w:cs="宋体"/>
          <w:snapToGrid w:val="0"/>
          <w:color w:val="000000"/>
          <w:kern w:val="0"/>
          <w:sz w:val="24"/>
          <w:szCs w:val="24"/>
          <w:lang w:val="en-US" w:eastAsia="zh-CN" w:bidi="ar"/>
        </w:rPr>
        <w:t>m</w:t>
      </w:r>
      <w:r>
        <w:rPr>
          <w:rFonts w:hint="default" w:ascii="宋体" w:hAnsi="宋体" w:eastAsia="宋体" w:cs="宋体"/>
          <w:snapToGrid w:val="0"/>
          <w:color w:val="000000"/>
          <w:kern w:val="0"/>
          <w:sz w:val="24"/>
          <w:szCs w:val="24"/>
          <w:vertAlign w:val="superscript"/>
          <w:lang w:val="en-US" w:eastAsia="zh-CN" w:bidi="ar"/>
        </w:rPr>
        <w:t xml:space="preserve"> 2</w:t>
      </w:r>
      <w:r>
        <w:rPr>
          <w:rFonts w:hint="eastAsia" w:ascii="宋体" w:hAnsi="宋体" w:eastAsia="宋体" w:cs="宋体"/>
          <w:snapToGrid w:val="0"/>
          <w:color w:val="000000"/>
          <w:kern w:val="0"/>
          <w:sz w:val="24"/>
          <w:szCs w:val="24"/>
          <w:lang w:val="en-US" w:eastAsia="zh-CN" w:bidi="ar"/>
        </w:rPr>
        <w:t>，复合土工膜</w:t>
      </w:r>
      <w:r>
        <w:rPr>
          <w:rFonts w:hint="default" w:ascii="宋体" w:hAnsi="宋体" w:eastAsia="宋体" w:cs="宋体"/>
          <w:snapToGrid w:val="0"/>
          <w:color w:val="000000"/>
          <w:kern w:val="0"/>
          <w:sz w:val="24"/>
          <w:szCs w:val="24"/>
          <w:lang w:val="en-US" w:eastAsia="zh-CN" w:bidi="ar"/>
        </w:rPr>
        <w:t>13787m</w:t>
      </w:r>
      <w:r>
        <w:rPr>
          <w:rFonts w:hint="default" w:ascii="宋体" w:hAnsi="宋体" w:eastAsia="宋体" w:cs="宋体"/>
          <w:snapToGrid w:val="0"/>
          <w:color w:val="000000"/>
          <w:kern w:val="0"/>
          <w:sz w:val="24"/>
          <w:szCs w:val="24"/>
          <w:vertAlign w:val="superscript"/>
          <w:lang w:val="en-US" w:eastAsia="zh-CN" w:bidi="ar"/>
        </w:rPr>
        <w:t xml:space="preserve"> 2</w:t>
      </w:r>
      <w:r>
        <w:rPr>
          <w:rFonts w:hint="eastAsia" w:ascii="宋体" w:hAnsi="宋体" w:eastAsia="宋体" w:cs="宋体"/>
          <w:snapToGrid w:val="0"/>
          <w:color w:val="000000"/>
          <w:kern w:val="0"/>
          <w:sz w:val="24"/>
          <w:szCs w:val="24"/>
          <w:lang w:val="en-US" w:eastAsia="zh-CN" w:bidi="ar"/>
        </w:rPr>
        <w:t>，填土编织袋临时拦挡</w:t>
      </w:r>
      <w:r>
        <w:rPr>
          <w:rFonts w:hint="default" w:ascii="宋体" w:hAnsi="宋体" w:eastAsia="宋体" w:cs="宋体"/>
          <w:snapToGrid w:val="0"/>
          <w:color w:val="000000"/>
          <w:kern w:val="0"/>
          <w:sz w:val="24"/>
          <w:szCs w:val="24"/>
          <w:lang w:val="en-US" w:eastAsia="zh-CN" w:bidi="ar"/>
        </w:rPr>
        <w:t>3896m</w:t>
      </w:r>
      <w:r>
        <w:rPr>
          <w:rFonts w:hint="default" w:ascii="宋体" w:hAnsi="宋体" w:eastAsia="宋体" w:cs="宋体"/>
          <w:snapToGrid w:val="0"/>
          <w:color w:val="000000"/>
          <w:kern w:val="0"/>
          <w:sz w:val="24"/>
          <w:szCs w:val="24"/>
          <w:vertAlign w:val="superscript"/>
          <w:lang w:val="en-US" w:eastAsia="zh-CN" w:bidi="ar"/>
        </w:rPr>
        <w:t xml:space="preserve"> 3</w:t>
      </w:r>
      <w:r>
        <w:rPr>
          <w:rFonts w:hint="eastAsia" w:ascii="宋体" w:hAnsi="宋体" w:eastAsia="宋体" w:cs="宋体"/>
          <w:snapToGrid w:val="0"/>
          <w:color w:val="000000"/>
          <w:kern w:val="0"/>
          <w:sz w:val="24"/>
          <w:szCs w:val="24"/>
          <w:lang w:val="en-US" w:eastAsia="zh-CN" w:bidi="ar"/>
        </w:rPr>
        <w:t>。互通工程区防治区截排水沟</w:t>
      </w:r>
      <w:r>
        <w:rPr>
          <w:rFonts w:hint="default" w:ascii="宋体" w:hAnsi="宋体" w:eastAsia="宋体" w:cs="宋体"/>
          <w:snapToGrid w:val="0"/>
          <w:color w:val="000000"/>
          <w:kern w:val="0"/>
          <w:sz w:val="24"/>
          <w:szCs w:val="24"/>
          <w:lang w:val="en-US" w:eastAsia="zh-CN" w:bidi="ar"/>
        </w:rPr>
        <w:t>2593m</w:t>
      </w:r>
      <w:r>
        <w:rPr>
          <w:rFonts w:hint="eastAsia" w:ascii="宋体" w:hAnsi="宋体" w:eastAsia="宋体" w:cs="宋体"/>
          <w:snapToGrid w:val="0"/>
          <w:color w:val="000000"/>
          <w:kern w:val="0"/>
          <w:sz w:val="24"/>
          <w:szCs w:val="24"/>
          <w:lang w:val="en-US" w:eastAsia="zh-CN" w:bidi="ar"/>
        </w:rPr>
        <w:t>，复合土工膜</w:t>
      </w:r>
      <w:r>
        <w:rPr>
          <w:rFonts w:hint="default" w:ascii="宋体" w:hAnsi="宋体" w:eastAsia="宋体" w:cs="宋体"/>
          <w:snapToGrid w:val="0"/>
          <w:color w:val="000000"/>
          <w:kern w:val="0"/>
          <w:sz w:val="24"/>
          <w:szCs w:val="24"/>
          <w:lang w:val="en-US" w:eastAsia="zh-CN" w:bidi="ar"/>
        </w:rPr>
        <w:t>3112m</w:t>
      </w:r>
      <w:r>
        <w:rPr>
          <w:rFonts w:hint="default"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，沉沙池</w:t>
      </w:r>
      <w:r>
        <w:rPr>
          <w:rFonts w:hint="default" w:ascii="宋体" w:hAnsi="宋体" w:eastAsia="宋体" w:cs="宋体"/>
          <w:snapToGrid w:val="0"/>
          <w:color w:val="000000"/>
          <w:kern w:val="0"/>
          <w:sz w:val="24"/>
          <w:szCs w:val="24"/>
          <w:lang w:val="en-US" w:eastAsia="zh-CN" w:bidi="ar"/>
        </w:rPr>
        <w:t>36</w:t>
      </w:r>
      <w:r>
        <w:rPr>
          <w:rFonts w:hint="eastAsia" w:ascii="宋体" w:hAnsi="宋体" w:eastAsia="宋体" w:cs="宋体"/>
          <w:snapToGrid w:val="0"/>
          <w:color w:val="000000"/>
          <w:kern w:val="0"/>
          <w:sz w:val="24"/>
          <w:szCs w:val="24"/>
          <w:lang w:val="en-US" w:eastAsia="zh-CN" w:bidi="ar"/>
        </w:rPr>
        <w:t>个，沉淀池</w:t>
      </w:r>
      <w:r>
        <w:rPr>
          <w:rFonts w:hint="default" w:ascii="宋体" w:hAnsi="宋体" w:eastAsia="宋体" w:cs="宋体"/>
          <w:snapToGrid w:val="0"/>
          <w:color w:val="000000"/>
          <w:kern w:val="0"/>
          <w:sz w:val="24"/>
          <w:szCs w:val="24"/>
          <w:lang w:val="en-US" w:eastAsia="zh-CN" w:bidi="ar"/>
        </w:rPr>
        <w:t>20</w:t>
      </w:r>
      <w:r>
        <w:rPr>
          <w:rFonts w:hint="eastAsia" w:ascii="宋体" w:hAnsi="宋体" w:eastAsia="宋体" w:cs="宋体"/>
          <w:snapToGrid w:val="0"/>
          <w:color w:val="000000"/>
          <w:kern w:val="0"/>
          <w:sz w:val="24"/>
          <w:szCs w:val="24"/>
          <w:lang w:val="en-US" w:eastAsia="zh-CN" w:bidi="ar"/>
        </w:rPr>
        <w:t>个，填土编织袋拦挡</w:t>
      </w:r>
      <w:r>
        <w:rPr>
          <w:rFonts w:hint="default" w:ascii="宋体" w:hAnsi="宋体" w:eastAsia="宋体" w:cs="宋体"/>
          <w:snapToGrid w:val="0"/>
          <w:color w:val="000000"/>
          <w:kern w:val="0"/>
          <w:sz w:val="24"/>
          <w:szCs w:val="24"/>
          <w:lang w:val="en-US" w:eastAsia="zh-CN" w:bidi="ar"/>
        </w:rPr>
        <w:t>2834m</w:t>
      </w:r>
      <w:r>
        <w:rPr>
          <w:rFonts w:hint="default" w:ascii="宋体" w:hAnsi="宋体" w:eastAsia="宋体" w:cs="宋体"/>
          <w:snapToGrid w:val="0"/>
          <w:color w:val="000000"/>
          <w:kern w:val="0"/>
          <w:sz w:val="24"/>
          <w:szCs w:val="24"/>
          <w:vertAlign w:val="superscript"/>
          <w:lang w:val="en-US" w:eastAsia="zh-CN" w:bidi="ar"/>
        </w:rPr>
        <w:t>3</w:t>
      </w:r>
      <w:r>
        <w:rPr>
          <w:rFonts w:hint="eastAsia" w:ascii="宋体" w:hAnsi="宋体" w:eastAsia="宋体" w:cs="宋体"/>
          <w:snapToGrid w:val="0"/>
          <w:color w:val="000000"/>
          <w:kern w:val="0"/>
          <w:sz w:val="24"/>
          <w:szCs w:val="24"/>
          <w:lang w:val="en-US" w:eastAsia="zh-CN" w:bidi="ar"/>
        </w:rPr>
        <w:t>。生态修复带防治区土质截排水沟</w:t>
      </w:r>
      <w:r>
        <w:rPr>
          <w:rFonts w:hint="default" w:ascii="宋体" w:hAnsi="宋体" w:eastAsia="宋体" w:cs="宋体"/>
          <w:snapToGrid w:val="0"/>
          <w:color w:val="000000"/>
          <w:kern w:val="0"/>
          <w:sz w:val="24"/>
          <w:szCs w:val="24"/>
          <w:lang w:val="en-US" w:eastAsia="zh-CN" w:bidi="ar"/>
        </w:rPr>
        <w:t>16042m</w:t>
      </w:r>
      <w:r>
        <w:rPr>
          <w:rFonts w:hint="eastAsia" w:ascii="宋体" w:hAnsi="宋体" w:eastAsia="宋体" w:cs="宋体"/>
          <w:snapToGrid w:val="0"/>
          <w:color w:val="000000"/>
          <w:kern w:val="0"/>
          <w:sz w:val="24"/>
          <w:szCs w:val="24"/>
          <w:lang w:val="en-US" w:eastAsia="zh-CN" w:bidi="ar"/>
        </w:rPr>
        <w:t>，沉沙池</w:t>
      </w:r>
      <w:r>
        <w:rPr>
          <w:rFonts w:hint="default" w:ascii="宋体" w:hAnsi="宋体" w:eastAsia="宋体" w:cs="宋体"/>
          <w:snapToGrid w:val="0"/>
          <w:color w:val="000000"/>
          <w:kern w:val="0"/>
          <w:sz w:val="24"/>
          <w:szCs w:val="24"/>
          <w:lang w:val="en-US" w:eastAsia="zh-CN" w:bidi="ar"/>
        </w:rPr>
        <w:t>124</w:t>
      </w:r>
      <w:r>
        <w:rPr>
          <w:rFonts w:hint="eastAsia" w:ascii="宋体" w:hAnsi="宋体" w:eastAsia="宋体" w:cs="宋体"/>
          <w:snapToGrid w:val="0"/>
          <w:color w:val="000000"/>
          <w:kern w:val="0"/>
          <w:sz w:val="24"/>
          <w:szCs w:val="24"/>
          <w:lang w:val="en-US" w:eastAsia="zh-CN" w:bidi="ar"/>
        </w:rPr>
        <w:t xml:space="preserve">个，防雨布 </w:t>
      </w:r>
      <w:r>
        <w:rPr>
          <w:rFonts w:hint="default" w:ascii="宋体" w:hAnsi="宋体" w:eastAsia="宋体" w:cs="宋体"/>
          <w:snapToGrid w:val="0"/>
          <w:color w:val="000000"/>
          <w:kern w:val="0"/>
          <w:sz w:val="24"/>
          <w:szCs w:val="24"/>
          <w:lang w:val="en-US" w:eastAsia="zh-CN" w:bidi="ar"/>
        </w:rPr>
        <w:t>41.18</w:t>
      </w:r>
      <w:r>
        <w:rPr>
          <w:rFonts w:hint="eastAsia" w:ascii="宋体" w:hAnsi="宋体" w:eastAsia="宋体" w:cs="宋体"/>
          <w:snapToGrid w:val="0"/>
          <w:color w:val="000000"/>
          <w:kern w:val="0"/>
          <w:sz w:val="24"/>
          <w:szCs w:val="24"/>
          <w:lang w:val="en-US" w:eastAsia="zh-CN" w:bidi="ar"/>
        </w:rPr>
        <w:t>万</w:t>
      </w:r>
      <w:r>
        <w:rPr>
          <w:rFonts w:hint="default" w:ascii="宋体" w:hAnsi="宋体" w:eastAsia="宋体" w:cs="宋体"/>
          <w:snapToGrid w:val="0"/>
          <w:color w:val="000000"/>
          <w:kern w:val="0"/>
          <w:sz w:val="24"/>
          <w:szCs w:val="24"/>
          <w:lang w:val="en-US" w:eastAsia="zh-CN" w:bidi="ar"/>
        </w:rPr>
        <w:t>m</w:t>
      </w:r>
      <w:r>
        <w:rPr>
          <w:rFonts w:hint="default" w:ascii="宋体" w:hAnsi="宋体" w:eastAsia="宋体" w:cs="宋体"/>
          <w:snapToGrid w:val="0"/>
          <w:color w:val="000000"/>
          <w:kern w:val="0"/>
          <w:sz w:val="24"/>
          <w:szCs w:val="24"/>
          <w:vertAlign w:val="superscript"/>
          <w:lang w:val="en-US" w:eastAsia="zh-CN" w:bidi="ar"/>
        </w:rPr>
        <w:t xml:space="preserve"> 2</w:t>
      </w:r>
      <w:r>
        <w:rPr>
          <w:rFonts w:hint="eastAsia" w:ascii="宋体" w:hAnsi="宋体" w:eastAsia="宋体" w:cs="宋体"/>
          <w:snapToGrid w:val="0"/>
          <w:color w:val="000000"/>
          <w:kern w:val="0"/>
          <w:sz w:val="24"/>
          <w:szCs w:val="24"/>
          <w:lang w:val="en-US" w:eastAsia="zh-CN" w:bidi="ar"/>
        </w:rPr>
        <w:t>，复合土工膜</w:t>
      </w:r>
      <w:r>
        <w:rPr>
          <w:rFonts w:hint="default" w:ascii="宋体" w:hAnsi="宋体" w:eastAsia="宋体" w:cs="宋体"/>
          <w:snapToGrid w:val="0"/>
          <w:color w:val="000000"/>
          <w:kern w:val="0"/>
          <w:sz w:val="24"/>
          <w:szCs w:val="24"/>
          <w:lang w:val="en-US" w:eastAsia="zh-CN" w:bidi="ar"/>
        </w:rPr>
        <w:t>19250m2</w:t>
      </w:r>
      <w:r>
        <w:rPr>
          <w:rFonts w:hint="eastAsia" w:ascii="宋体" w:hAnsi="宋体" w:eastAsia="宋体" w:cs="宋体"/>
          <w:snapToGrid w:val="0"/>
          <w:color w:val="000000"/>
          <w:kern w:val="0"/>
          <w:sz w:val="24"/>
          <w:szCs w:val="24"/>
          <w:lang w:val="en-US" w:eastAsia="zh-CN" w:bidi="ar"/>
        </w:rPr>
        <w:t>，填土编织袋临时拦挡</w:t>
      </w:r>
      <w:r>
        <w:rPr>
          <w:rFonts w:hint="default" w:ascii="宋体" w:hAnsi="宋体" w:eastAsia="宋体" w:cs="宋体"/>
          <w:snapToGrid w:val="0"/>
          <w:color w:val="000000"/>
          <w:kern w:val="0"/>
          <w:sz w:val="24"/>
          <w:szCs w:val="24"/>
          <w:lang w:val="en-US" w:eastAsia="zh-CN" w:bidi="ar"/>
        </w:rPr>
        <w:t>4286m</w:t>
      </w:r>
      <w:r>
        <w:rPr>
          <w:rFonts w:hint="default" w:ascii="宋体" w:hAnsi="宋体" w:eastAsia="宋体" w:cs="宋体"/>
          <w:snapToGrid w:val="0"/>
          <w:color w:val="000000"/>
          <w:kern w:val="0"/>
          <w:sz w:val="24"/>
          <w:szCs w:val="24"/>
          <w:vertAlign w:val="superscript"/>
          <w:lang w:val="en-US" w:eastAsia="zh-CN" w:bidi="ar"/>
        </w:rPr>
        <w:t>3</w:t>
      </w:r>
      <w:r>
        <w:rPr>
          <w:rFonts w:hint="eastAsia" w:ascii="宋体" w:hAnsi="宋体" w:eastAsia="宋体" w:cs="宋体"/>
          <w:snapToGrid w:val="0"/>
          <w:color w:val="000000"/>
          <w:kern w:val="0"/>
          <w:sz w:val="24"/>
          <w:szCs w:val="24"/>
          <w:lang w:val="en-US" w:eastAsia="zh-CN" w:bidi="ar"/>
        </w:rPr>
        <w:t>。临时表土堆场防治区排水沟</w:t>
      </w:r>
      <w:r>
        <w:rPr>
          <w:rFonts w:hint="default" w:ascii="宋体" w:hAnsi="宋体" w:eastAsia="宋体" w:cs="宋体"/>
          <w:snapToGrid w:val="0"/>
          <w:color w:val="000000"/>
          <w:kern w:val="0"/>
          <w:sz w:val="24"/>
          <w:szCs w:val="24"/>
          <w:lang w:val="en-US" w:eastAsia="zh-CN" w:bidi="ar"/>
        </w:rPr>
        <w:t>4631m</w:t>
      </w:r>
      <w:r>
        <w:rPr>
          <w:rFonts w:hint="eastAsia" w:ascii="宋体" w:hAnsi="宋体" w:eastAsia="宋体" w:cs="宋体"/>
          <w:snapToGrid w:val="0"/>
          <w:color w:val="000000"/>
          <w:kern w:val="0"/>
          <w:sz w:val="24"/>
          <w:szCs w:val="24"/>
          <w:lang w:val="en-US" w:eastAsia="zh-CN" w:bidi="ar"/>
        </w:rPr>
        <w:t>，复合土工膜</w:t>
      </w:r>
      <w:r>
        <w:rPr>
          <w:rFonts w:hint="default" w:ascii="宋体" w:hAnsi="宋体" w:eastAsia="宋体" w:cs="宋体"/>
          <w:snapToGrid w:val="0"/>
          <w:color w:val="000000"/>
          <w:kern w:val="0"/>
          <w:sz w:val="24"/>
          <w:szCs w:val="24"/>
          <w:lang w:val="en-US" w:eastAsia="zh-CN" w:bidi="ar"/>
        </w:rPr>
        <w:t>5557m</w:t>
      </w:r>
      <w:r>
        <w:rPr>
          <w:rFonts w:hint="default"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，防雨布覆盖</w:t>
      </w:r>
      <w:r>
        <w:rPr>
          <w:rFonts w:hint="default" w:ascii="宋体" w:hAnsi="宋体" w:eastAsia="宋体" w:cs="宋体"/>
          <w:snapToGrid w:val="0"/>
          <w:color w:val="000000"/>
          <w:kern w:val="0"/>
          <w:sz w:val="24"/>
          <w:szCs w:val="24"/>
          <w:lang w:val="en-US" w:eastAsia="zh-CN" w:bidi="ar"/>
        </w:rPr>
        <w:t>30496m</w:t>
      </w:r>
      <w:r>
        <w:rPr>
          <w:rFonts w:hint="default"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，沉沙池</w:t>
      </w:r>
      <w:r>
        <w:rPr>
          <w:rFonts w:hint="default" w:ascii="宋体" w:hAnsi="宋体" w:eastAsia="宋体" w:cs="宋体"/>
          <w:snapToGrid w:val="0"/>
          <w:color w:val="000000"/>
          <w:kern w:val="0"/>
          <w:sz w:val="24"/>
          <w:szCs w:val="24"/>
          <w:lang w:val="en-US" w:eastAsia="zh-CN" w:bidi="ar"/>
        </w:rPr>
        <w:t>32</w:t>
      </w:r>
      <w:r>
        <w:rPr>
          <w:rFonts w:hint="eastAsia" w:ascii="宋体" w:hAnsi="宋体" w:eastAsia="宋体" w:cs="宋体"/>
          <w:snapToGrid w:val="0"/>
          <w:color w:val="000000"/>
          <w:kern w:val="0"/>
          <w:sz w:val="24"/>
          <w:szCs w:val="24"/>
          <w:lang w:val="en-US" w:eastAsia="zh-CN" w:bidi="ar"/>
        </w:rPr>
        <w:t xml:space="preserve">个，填土编织袋临时拦挡 </w:t>
      </w:r>
      <w:r>
        <w:rPr>
          <w:rFonts w:hint="default" w:ascii="宋体" w:hAnsi="宋体" w:eastAsia="宋体" w:cs="宋体"/>
          <w:snapToGrid w:val="0"/>
          <w:color w:val="000000"/>
          <w:kern w:val="0"/>
          <w:sz w:val="24"/>
          <w:szCs w:val="24"/>
          <w:lang w:val="en-US" w:eastAsia="zh-CN" w:bidi="ar"/>
        </w:rPr>
        <w:t>4631m3</w:t>
      </w:r>
      <w:r>
        <w:rPr>
          <w:rFonts w:hint="eastAsia" w:ascii="宋体" w:hAnsi="宋体" w:eastAsia="宋体" w:cs="宋体"/>
          <w:snapToGrid w:val="0"/>
          <w:color w:val="000000"/>
          <w:kern w:val="0"/>
          <w:sz w:val="24"/>
          <w:szCs w:val="24"/>
          <w:lang w:val="en-US" w:eastAsia="zh-CN" w:bidi="ar"/>
        </w:rPr>
        <w:t xml:space="preserve">。施工区防治区排水沟 </w:t>
      </w:r>
      <w:r>
        <w:rPr>
          <w:rFonts w:hint="default" w:ascii="宋体" w:hAnsi="宋体" w:eastAsia="宋体" w:cs="宋体"/>
          <w:snapToGrid w:val="0"/>
          <w:color w:val="000000"/>
          <w:kern w:val="0"/>
          <w:sz w:val="24"/>
          <w:szCs w:val="24"/>
          <w:lang w:val="en-US" w:eastAsia="zh-CN" w:bidi="ar"/>
        </w:rPr>
        <w:t>1738m</w:t>
      </w:r>
      <w:r>
        <w:rPr>
          <w:rFonts w:hint="eastAsia" w:ascii="宋体" w:hAnsi="宋体" w:eastAsia="宋体" w:cs="宋体"/>
          <w:snapToGrid w:val="0"/>
          <w:color w:val="000000"/>
          <w:kern w:val="0"/>
          <w:sz w:val="24"/>
          <w:szCs w:val="24"/>
          <w:lang w:val="en-US" w:eastAsia="zh-CN" w:bidi="ar"/>
        </w:rPr>
        <w:t xml:space="preserve">，复合土工膜 </w:t>
      </w:r>
      <w:r>
        <w:rPr>
          <w:rFonts w:hint="default" w:ascii="宋体" w:hAnsi="宋体" w:eastAsia="宋体" w:cs="宋体"/>
          <w:snapToGrid w:val="0"/>
          <w:color w:val="000000"/>
          <w:kern w:val="0"/>
          <w:sz w:val="24"/>
          <w:szCs w:val="24"/>
          <w:lang w:val="en-US" w:eastAsia="zh-CN" w:bidi="ar"/>
        </w:rPr>
        <w:t>2259m2</w:t>
      </w:r>
      <w:r>
        <w:rPr>
          <w:rFonts w:hint="eastAsia" w:ascii="宋体" w:hAnsi="宋体" w:eastAsia="宋体" w:cs="宋体"/>
          <w:snapToGrid w:val="0"/>
          <w:color w:val="000000"/>
          <w:kern w:val="0"/>
          <w:sz w:val="24"/>
          <w:szCs w:val="24"/>
          <w:lang w:val="en-US" w:eastAsia="zh-CN" w:bidi="ar"/>
        </w:rPr>
        <w:t>，防雨布覆盖</w:t>
      </w:r>
      <w:r>
        <w:rPr>
          <w:rFonts w:hint="default" w:ascii="宋体" w:hAnsi="宋体" w:eastAsia="宋体" w:cs="宋体"/>
          <w:snapToGrid w:val="0"/>
          <w:color w:val="000000"/>
          <w:kern w:val="0"/>
          <w:sz w:val="24"/>
          <w:szCs w:val="24"/>
          <w:lang w:val="en-US" w:eastAsia="zh-CN" w:bidi="ar"/>
        </w:rPr>
        <w:t>15520m</w:t>
      </w:r>
      <w:r>
        <w:rPr>
          <w:rFonts w:hint="default"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，沉沙池</w:t>
      </w:r>
      <w:r>
        <w:rPr>
          <w:rFonts w:hint="default" w:ascii="宋体" w:hAnsi="宋体" w:eastAsia="宋体" w:cs="宋体"/>
          <w:snapToGrid w:val="0"/>
          <w:color w:val="000000"/>
          <w:kern w:val="0"/>
          <w:sz w:val="24"/>
          <w:szCs w:val="24"/>
          <w:lang w:val="en-US" w:eastAsia="zh-CN" w:bidi="ar"/>
        </w:rPr>
        <w:t>28</w:t>
      </w:r>
      <w:r>
        <w:rPr>
          <w:rFonts w:hint="eastAsia" w:ascii="宋体" w:hAnsi="宋体" w:eastAsia="宋体" w:cs="宋体"/>
          <w:snapToGrid w:val="0"/>
          <w:color w:val="000000"/>
          <w:kern w:val="0"/>
          <w:sz w:val="24"/>
          <w:szCs w:val="24"/>
          <w:lang w:val="en-US" w:eastAsia="zh-CN" w:bidi="ar"/>
        </w:rPr>
        <w:t>个，填土编织袋临时拦挡</w:t>
      </w:r>
      <w:r>
        <w:rPr>
          <w:rFonts w:hint="default" w:ascii="宋体" w:hAnsi="宋体" w:eastAsia="宋体" w:cs="宋体"/>
          <w:snapToGrid w:val="0"/>
          <w:color w:val="000000"/>
          <w:kern w:val="0"/>
          <w:sz w:val="24"/>
          <w:szCs w:val="24"/>
          <w:lang w:val="en-US" w:eastAsia="zh-CN" w:bidi="ar"/>
        </w:rPr>
        <w:t>1738m</w:t>
      </w:r>
      <w:r>
        <w:rPr>
          <w:rFonts w:hint="default" w:ascii="宋体" w:hAnsi="宋体" w:eastAsia="宋体" w:cs="宋体"/>
          <w:snapToGrid w:val="0"/>
          <w:color w:val="000000"/>
          <w:kern w:val="0"/>
          <w:sz w:val="24"/>
          <w:szCs w:val="24"/>
          <w:vertAlign w:val="superscript"/>
          <w:lang w:val="en-US" w:eastAsia="zh-CN" w:bidi="ar"/>
        </w:rPr>
        <w:t>3</w:t>
      </w:r>
      <w:r>
        <w:rPr>
          <w:rFonts w:hint="eastAsia" w:ascii="宋体" w:hAnsi="宋体" w:eastAsia="宋体" w:cs="宋体"/>
          <w:snapToGrid w:val="0"/>
          <w:color w:val="000000"/>
          <w:kern w:val="0"/>
          <w:sz w:val="24"/>
          <w:szCs w:val="24"/>
          <w:lang w:val="en-US" w:eastAsia="zh-CN" w:bidi="ar"/>
        </w:rPr>
        <w:t>。施工便道防治区土质截排水沟</w:t>
      </w:r>
      <w:r>
        <w:rPr>
          <w:rFonts w:hint="default" w:ascii="宋体" w:hAnsi="宋体" w:eastAsia="宋体" w:cs="宋体"/>
          <w:snapToGrid w:val="0"/>
          <w:color w:val="000000"/>
          <w:kern w:val="0"/>
          <w:sz w:val="24"/>
          <w:szCs w:val="24"/>
          <w:lang w:val="en-US" w:eastAsia="zh-CN" w:bidi="ar"/>
        </w:rPr>
        <w:t>1250m</w:t>
      </w:r>
      <w:r>
        <w:rPr>
          <w:rFonts w:hint="eastAsia" w:ascii="宋体" w:hAnsi="宋体" w:eastAsia="宋体" w:cs="宋体"/>
          <w:snapToGrid w:val="0"/>
          <w:color w:val="000000"/>
          <w:kern w:val="0"/>
          <w:sz w:val="24"/>
          <w:szCs w:val="24"/>
          <w:lang w:val="en-US" w:eastAsia="zh-CN" w:bidi="ar"/>
        </w:rPr>
        <w:t>，复合土工膜</w:t>
      </w:r>
      <w:r>
        <w:rPr>
          <w:rFonts w:hint="default" w:ascii="宋体" w:hAnsi="宋体" w:eastAsia="宋体" w:cs="宋体"/>
          <w:snapToGrid w:val="0"/>
          <w:color w:val="000000"/>
          <w:kern w:val="0"/>
          <w:sz w:val="24"/>
          <w:szCs w:val="24"/>
          <w:lang w:val="en-US" w:eastAsia="zh-CN" w:bidi="ar"/>
        </w:rPr>
        <w:t>1625m</w:t>
      </w:r>
      <w:r>
        <w:rPr>
          <w:rFonts w:hint="default" w:ascii="宋体" w:hAnsi="宋体" w:eastAsia="宋体" w:cs="宋体"/>
          <w:snapToGrid w:val="0"/>
          <w:color w:val="000000"/>
          <w:kern w:val="0"/>
          <w:sz w:val="24"/>
          <w:szCs w:val="24"/>
          <w:vertAlign w:val="superscript"/>
          <w:lang w:val="en-US" w:eastAsia="zh-CN" w:bidi="ar"/>
        </w:rPr>
        <w:t>2</w:t>
      </w:r>
      <w:r>
        <w:rPr>
          <w:rFonts w:hint="eastAsia" w:ascii="宋体" w:hAnsi="宋体" w:eastAsia="宋体" w:cs="宋体"/>
          <w:snapToGrid w:val="0"/>
          <w:color w:val="000000"/>
          <w:kern w:val="0"/>
          <w:sz w:val="24"/>
          <w:szCs w:val="24"/>
          <w:lang w:val="en-US" w:eastAsia="zh-CN" w:bidi="ar"/>
        </w:rPr>
        <w:t>；沉沙池</w:t>
      </w:r>
      <w:r>
        <w:rPr>
          <w:rFonts w:hint="default" w:ascii="宋体" w:hAnsi="宋体" w:eastAsia="宋体" w:cs="宋体"/>
          <w:snapToGrid w:val="0"/>
          <w:color w:val="000000"/>
          <w:kern w:val="0"/>
          <w:sz w:val="24"/>
          <w:szCs w:val="24"/>
          <w:lang w:val="en-US" w:eastAsia="zh-CN" w:bidi="ar"/>
        </w:rPr>
        <w:t>18</w:t>
      </w:r>
      <w:r>
        <w:rPr>
          <w:rFonts w:hint="eastAsia" w:ascii="宋体" w:hAnsi="宋体" w:eastAsia="宋体" w:cs="宋体"/>
          <w:snapToGrid w:val="0"/>
          <w:color w:val="000000"/>
          <w:kern w:val="0"/>
          <w:sz w:val="24"/>
          <w:szCs w:val="24"/>
          <w:lang w:val="en-US" w:eastAsia="zh-CN" w:bidi="ar"/>
        </w:rPr>
        <w:t>个。共计土质排水沟</w:t>
      </w:r>
      <w:r>
        <w:rPr>
          <w:rFonts w:hint="default" w:ascii="宋体" w:hAnsi="宋体" w:eastAsia="宋体" w:cs="宋体"/>
          <w:snapToGrid w:val="0"/>
          <w:color w:val="000000"/>
          <w:kern w:val="0"/>
          <w:sz w:val="24"/>
          <w:szCs w:val="24"/>
          <w:lang w:val="en-US" w:eastAsia="zh-CN" w:bidi="ar"/>
        </w:rPr>
        <w:t>53061m</w:t>
      </w:r>
      <w:r>
        <w:rPr>
          <w:rFonts w:hint="eastAsia" w:ascii="宋体" w:hAnsi="宋体" w:eastAsia="宋体" w:cs="宋体"/>
          <w:snapToGrid w:val="0"/>
          <w:color w:val="000000"/>
          <w:kern w:val="0"/>
          <w:sz w:val="24"/>
          <w:szCs w:val="24"/>
          <w:lang w:val="en-US" w:eastAsia="zh-CN" w:bidi="ar"/>
        </w:rPr>
        <w:t>，沉沙池</w:t>
      </w:r>
      <w:r>
        <w:rPr>
          <w:rFonts w:hint="default" w:ascii="宋体" w:hAnsi="宋体" w:eastAsia="宋体" w:cs="宋体"/>
          <w:snapToGrid w:val="0"/>
          <w:color w:val="000000"/>
          <w:kern w:val="0"/>
          <w:sz w:val="24"/>
          <w:szCs w:val="24"/>
          <w:lang w:val="en-US" w:eastAsia="zh-CN" w:bidi="ar"/>
        </w:rPr>
        <w:t>415</w:t>
      </w:r>
      <w:r>
        <w:rPr>
          <w:rFonts w:hint="eastAsia" w:ascii="宋体" w:hAnsi="宋体" w:eastAsia="宋体" w:cs="宋体"/>
          <w:snapToGrid w:val="0"/>
          <w:color w:val="000000"/>
          <w:kern w:val="0"/>
          <w:sz w:val="24"/>
          <w:szCs w:val="24"/>
          <w:lang w:val="en-US" w:eastAsia="zh-CN" w:bidi="ar"/>
        </w:rPr>
        <w:t>个，防雨布</w:t>
      </w:r>
      <w:r>
        <w:rPr>
          <w:rFonts w:hint="default" w:ascii="宋体" w:hAnsi="宋体" w:eastAsia="宋体" w:cs="宋体"/>
          <w:snapToGrid w:val="0"/>
          <w:color w:val="000000"/>
          <w:kern w:val="0"/>
          <w:sz w:val="24"/>
          <w:szCs w:val="24"/>
          <w:lang w:val="en-US" w:eastAsia="zh-CN" w:bidi="ar"/>
        </w:rPr>
        <w:t>93.25</w:t>
      </w:r>
      <w:r>
        <w:rPr>
          <w:rFonts w:hint="eastAsia" w:ascii="宋体" w:hAnsi="宋体" w:eastAsia="宋体" w:cs="宋体"/>
          <w:snapToGrid w:val="0"/>
          <w:color w:val="000000"/>
          <w:kern w:val="0"/>
          <w:sz w:val="24"/>
          <w:szCs w:val="24"/>
          <w:lang w:val="en-US" w:eastAsia="zh-CN" w:bidi="ar"/>
        </w:rPr>
        <w:t>万</w:t>
      </w:r>
      <w:r>
        <w:rPr>
          <w:rFonts w:hint="default" w:ascii="宋体" w:hAnsi="宋体" w:eastAsia="宋体" w:cs="宋体"/>
          <w:snapToGrid w:val="0"/>
          <w:color w:val="000000"/>
          <w:kern w:val="0"/>
          <w:sz w:val="24"/>
          <w:szCs w:val="24"/>
          <w:lang w:val="en-US" w:eastAsia="zh-CN" w:bidi="ar"/>
        </w:rPr>
        <w:t>m</w:t>
      </w:r>
      <w:r>
        <w:rPr>
          <w:rFonts w:hint="default" w:ascii="宋体" w:hAnsi="宋体" w:eastAsia="宋体" w:cs="宋体"/>
          <w:snapToGrid w:val="0"/>
          <w:color w:val="000000"/>
          <w:kern w:val="0"/>
          <w:sz w:val="24"/>
          <w:szCs w:val="24"/>
          <w:vertAlign w:val="superscript"/>
          <w:lang w:val="en-US" w:eastAsia="zh-CN" w:bidi="ar"/>
        </w:rPr>
        <w:t xml:space="preserve"> 2</w:t>
      </w:r>
      <w:r>
        <w:rPr>
          <w:rFonts w:hint="eastAsia" w:ascii="宋体" w:hAnsi="宋体" w:eastAsia="宋体" w:cs="宋体"/>
          <w:snapToGrid w:val="0"/>
          <w:color w:val="000000"/>
          <w:kern w:val="0"/>
          <w:sz w:val="24"/>
          <w:szCs w:val="24"/>
          <w:lang w:val="en-US" w:eastAsia="zh-CN" w:bidi="ar"/>
        </w:rPr>
        <w:t>，复合土工膜</w:t>
      </w:r>
      <w:r>
        <w:rPr>
          <w:rFonts w:hint="default" w:ascii="宋体" w:hAnsi="宋体" w:eastAsia="宋体" w:cs="宋体"/>
          <w:snapToGrid w:val="0"/>
          <w:color w:val="000000"/>
          <w:kern w:val="0"/>
          <w:sz w:val="24"/>
          <w:szCs w:val="24"/>
          <w:lang w:val="en-US" w:eastAsia="zh-CN" w:bidi="ar"/>
        </w:rPr>
        <w:t>63972m</w:t>
      </w:r>
      <w:r>
        <w:rPr>
          <w:rFonts w:hint="default" w:ascii="宋体" w:hAnsi="宋体" w:eastAsia="宋体" w:cs="宋体"/>
          <w:snapToGrid w:val="0"/>
          <w:color w:val="000000"/>
          <w:kern w:val="0"/>
          <w:sz w:val="24"/>
          <w:szCs w:val="24"/>
          <w:vertAlign w:val="superscript"/>
          <w:lang w:val="en-US" w:eastAsia="zh-CN" w:bidi="ar"/>
        </w:rPr>
        <w:t xml:space="preserve"> 2</w:t>
      </w:r>
      <w:r>
        <w:rPr>
          <w:rFonts w:hint="eastAsia" w:ascii="宋体" w:hAnsi="宋体" w:eastAsia="宋体" w:cs="宋体"/>
          <w:snapToGrid w:val="0"/>
          <w:color w:val="000000"/>
          <w:kern w:val="0"/>
          <w:sz w:val="24"/>
          <w:szCs w:val="24"/>
          <w:lang w:val="en-US" w:eastAsia="zh-CN" w:bidi="ar"/>
        </w:rPr>
        <w:t xml:space="preserve">，填土编织袋临时拦挡 </w:t>
      </w:r>
      <w:r>
        <w:rPr>
          <w:rFonts w:hint="default" w:ascii="宋体" w:hAnsi="宋体" w:eastAsia="宋体" w:cs="宋体"/>
          <w:snapToGrid w:val="0"/>
          <w:color w:val="000000"/>
          <w:kern w:val="0"/>
          <w:sz w:val="24"/>
          <w:szCs w:val="24"/>
          <w:lang w:val="en-US" w:eastAsia="zh-CN" w:bidi="ar"/>
        </w:rPr>
        <w:t>14551m</w:t>
      </w:r>
      <w:r>
        <w:rPr>
          <w:rFonts w:hint="default" w:ascii="宋体" w:hAnsi="宋体" w:eastAsia="宋体" w:cs="宋体"/>
          <w:snapToGrid w:val="0"/>
          <w:color w:val="000000"/>
          <w:kern w:val="0"/>
          <w:sz w:val="24"/>
          <w:szCs w:val="24"/>
          <w:vertAlign w:val="superscript"/>
          <w:lang w:val="en-US" w:eastAsia="zh-CN" w:bidi="ar"/>
        </w:rPr>
        <w:t xml:space="preserve"> 3</w:t>
      </w:r>
      <w:r>
        <w:rPr>
          <w:rFonts w:hint="eastAsia" w:ascii="宋体" w:hAnsi="宋体" w:eastAsia="宋体" w:cs="宋体"/>
          <w:snapToGrid w:val="0"/>
          <w:color w:val="000000"/>
          <w:kern w:val="0"/>
          <w:sz w:val="24"/>
          <w:szCs w:val="24"/>
          <w:lang w:val="en-US" w:eastAsia="zh-CN" w:bidi="ar"/>
        </w:rPr>
        <w:t>等防水土地流失措施，项目施工后期临时施工场地、表土堆场及施工便道等场地生态恢复措施中，栽植乔木</w:t>
      </w:r>
      <w:r>
        <w:rPr>
          <w:rFonts w:hint="default" w:ascii="宋体" w:hAnsi="宋体" w:eastAsia="宋体" w:cs="宋体"/>
          <w:snapToGrid w:val="0"/>
          <w:color w:val="000000"/>
          <w:kern w:val="0"/>
          <w:sz w:val="24"/>
          <w:szCs w:val="24"/>
          <w:lang w:val="en-US" w:eastAsia="zh-CN" w:bidi="ar"/>
        </w:rPr>
        <w:t>40000</w:t>
      </w:r>
      <w:r>
        <w:rPr>
          <w:rFonts w:hint="eastAsia" w:ascii="宋体" w:hAnsi="宋体" w:eastAsia="宋体" w:cs="宋体"/>
          <w:snapToGrid w:val="0"/>
          <w:color w:val="000000"/>
          <w:kern w:val="0"/>
          <w:sz w:val="24"/>
          <w:szCs w:val="24"/>
          <w:lang w:val="en-US" w:eastAsia="zh-CN" w:bidi="ar"/>
        </w:rPr>
        <w:t>株，栽植灌木</w:t>
      </w:r>
      <w:r>
        <w:rPr>
          <w:rFonts w:hint="default" w:ascii="宋体" w:hAnsi="宋体" w:eastAsia="宋体" w:cs="宋体"/>
          <w:snapToGrid w:val="0"/>
          <w:color w:val="000000"/>
          <w:kern w:val="0"/>
          <w:sz w:val="24"/>
          <w:szCs w:val="24"/>
          <w:lang w:val="en-US" w:eastAsia="zh-CN" w:bidi="ar"/>
        </w:rPr>
        <w:t>228</w:t>
      </w:r>
      <w:r>
        <w:rPr>
          <w:rFonts w:hint="eastAsia" w:ascii="宋体" w:hAnsi="宋体" w:eastAsia="宋体" w:cs="宋体"/>
          <w:snapToGrid w:val="0"/>
          <w:color w:val="000000"/>
          <w:kern w:val="0"/>
          <w:sz w:val="24"/>
          <w:szCs w:val="24"/>
          <w:lang w:val="en-US" w:eastAsia="zh-CN" w:bidi="ar"/>
        </w:rPr>
        <w:t>万株，撒播草籽</w:t>
      </w:r>
      <w:r>
        <w:rPr>
          <w:rFonts w:hint="default" w:ascii="宋体" w:hAnsi="宋体" w:eastAsia="宋体" w:cs="宋体"/>
          <w:snapToGrid w:val="0"/>
          <w:color w:val="000000"/>
          <w:kern w:val="0"/>
          <w:sz w:val="24"/>
          <w:szCs w:val="24"/>
          <w:lang w:val="en-US" w:eastAsia="zh-CN" w:bidi="ar"/>
        </w:rPr>
        <w:t xml:space="preserve">65.2 </w:t>
      </w:r>
      <w:r>
        <w:rPr>
          <w:rFonts w:hint="eastAsia" w:ascii="宋体" w:hAnsi="宋体" w:eastAsia="宋体" w:cs="宋体"/>
          <w:snapToGrid w:val="0"/>
          <w:color w:val="000000"/>
          <w:kern w:val="0"/>
          <w:sz w:val="24"/>
          <w:szCs w:val="24"/>
          <w:lang w:val="en-US" w:eastAsia="zh-CN" w:bidi="ar"/>
        </w:rPr>
        <w:t>万</w:t>
      </w:r>
      <w:r>
        <w:rPr>
          <w:rFonts w:hint="default" w:ascii="宋体" w:hAnsi="宋体" w:eastAsia="宋体" w:cs="宋体"/>
          <w:snapToGrid w:val="0"/>
          <w:color w:val="000000"/>
          <w:kern w:val="0"/>
          <w:sz w:val="24"/>
          <w:szCs w:val="24"/>
          <w:lang w:val="en-US" w:eastAsia="zh-CN" w:bidi="ar"/>
        </w:rPr>
        <w:t>m</w:t>
      </w:r>
      <w:r>
        <w:rPr>
          <w:rFonts w:hint="default" w:ascii="宋体" w:hAnsi="宋体" w:eastAsia="宋体" w:cs="宋体"/>
          <w:snapToGrid w:val="0"/>
          <w:color w:val="000000"/>
          <w:kern w:val="0"/>
          <w:sz w:val="24"/>
          <w:szCs w:val="24"/>
          <w:vertAlign w:val="superscript"/>
          <w:lang w:val="en-US" w:eastAsia="zh-CN" w:bidi="ar"/>
        </w:rPr>
        <w:t xml:space="preserve"> 2</w:t>
      </w:r>
      <w:r>
        <w:rPr>
          <w:rFonts w:hint="eastAsia" w:ascii="宋体" w:hAnsi="宋体" w:eastAsia="宋体" w:cs="宋体"/>
          <w:snapToGrid w:val="0"/>
          <w:color w:val="000000"/>
          <w:kern w:val="0"/>
          <w:sz w:val="24"/>
          <w:szCs w:val="24"/>
          <w:lang w:val="en-US" w:eastAsia="zh-CN" w:bidi="ar"/>
        </w:rPr>
        <w:t>，同时，项目实施所产生的弃土、弃渣清运至运机四分厂弃土场及蛇金山弃土场堆放，项目施工期未造成区域内较大面积的水土流失。</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5.1.5景观影响调查与分析</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项目实施对区域景观的影响主要体现在基础开挖对地表的扰动,形成与周围环境不相容的落地景观上。根据现场勘查，项目施工期间设置有彩钢板围挡，将施工区域与外界隔开，同时项目道路两侧设置有绿化带。临时占地生态恢复情况较好。道路工程施工后，工程区绿化工程与主体工程同时规划， 同时设计、同时投资，现已完成绿化工程建设。通过在建成后道路绿化带和边坡绿化，实行空地绿化、立体种植或者立体绿化，实现防治水土流失和景观生态功能得到修复，建设工程建成后提高了沿线景观品质，对所处区域生态环境建设起到推动作用。</w:t>
      </w:r>
      <w:bookmarkStart w:id="21" w:name="_bookmark52"/>
      <w:bookmarkEnd w:id="21"/>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jc w:val="left"/>
        <w:textAlignment w:val="baseline"/>
        <w:outlineLvl w:val="1"/>
        <w:rPr>
          <w:rFonts w:hint="eastAsia"/>
          <w:b/>
          <w:sz w:val="28"/>
          <w:szCs w:val="20"/>
          <w:lang w:val="en-US" w:eastAsia="zh-CN"/>
        </w:rPr>
      </w:pPr>
      <w:bookmarkStart w:id="22" w:name="_Toc4693"/>
      <w:r>
        <w:rPr>
          <w:rFonts w:hint="eastAsia"/>
          <w:b/>
          <w:sz w:val="28"/>
          <w:szCs w:val="20"/>
          <w:lang w:val="en-US" w:eastAsia="zh-CN"/>
        </w:rPr>
        <w:t>5.2声环境影响调查与分析</w:t>
      </w:r>
      <w:bookmarkEnd w:id="22"/>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5.2.1施工期声环境影响调查与分析</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项目施工期对区域声环境的影响主要来源于施工机械和运输车辆噪声，该部分噪声具有偶然性、瞬时性等特点。根据现场调查，项目施工期间，施工单位按照《项目环境影响报告表》落实了相应的噪声防治措施，如禁止夜间施工、加强施工机械及运输车辆管理、在敏感路段设置减速禁鸣标识等。项目施工期间未发生噪声扰民事件，未收到噪声投诉。</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5.2.2营运期声环境影调查与分析</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72" w:firstLineChars="200"/>
        <w:jc w:val="left"/>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项目营运期对区域声环境的影响主要来源于交通噪声，主要包括调查工程对沿线声环境敏感点的影响、沿线声环境敏感点的变化情况、通过现状监测调查公路营运期公路交通噪声对沿线声环境质量的影响以及敏感点噪声达标情况、降噪措施的有效性等方面内容。</w:t>
      </w:r>
    </w:p>
    <w:p>
      <w:pPr>
        <w:spacing w:before="79" w:line="219" w:lineRule="auto"/>
        <w:ind w:left="203"/>
        <w:outlineLvl w:val="6"/>
        <w:rPr>
          <w:rFonts w:ascii="宋体" w:hAnsi="宋体" w:eastAsia="宋体" w:cs="宋体"/>
          <w:sz w:val="24"/>
          <w:szCs w:val="24"/>
        </w:rPr>
      </w:pPr>
      <w:r>
        <w:rPr>
          <w:rFonts w:hint="eastAsia" w:ascii="宋体" w:hAnsi="宋体" w:eastAsia="宋体" w:cs="宋体"/>
          <w:b/>
          <w:bCs/>
          <w:spacing w:val="-5"/>
          <w:sz w:val="24"/>
          <w:szCs w:val="24"/>
          <w:lang w:val="en-US" w:eastAsia="zh-CN"/>
        </w:rPr>
        <w:t>5</w:t>
      </w:r>
      <w:r>
        <w:rPr>
          <w:rFonts w:ascii="宋体" w:hAnsi="宋体" w:eastAsia="宋体" w:cs="宋体"/>
          <w:b/>
          <w:bCs/>
          <w:spacing w:val="-5"/>
          <w:sz w:val="24"/>
          <w:szCs w:val="24"/>
        </w:rPr>
        <w:t>.2.</w:t>
      </w:r>
      <w:r>
        <w:rPr>
          <w:rFonts w:hint="eastAsia" w:ascii="宋体" w:hAnsi="宋体" w:eastAsia="宋体" w:cs="宋体"/>
          <w:b/>
          <w:bCs/>
          <w:spacing w:val="-5"/>
          <w:sz w:val="24"/>
          <w:szCs w:val="24"/>
          <w:lang w:val="en-US" w:eastAsia="zh-CN"/>
        </w:rPr>
        <w:t>2.1</w:t>
      </w:r>
      <w:r>
        <w:rPr>
          <w:rFonts w:ascii="宋体" w:hAnsi="宋体" w:eastAsia="宋体" w:cs="宋体"/>
          <w:b/>
          <w:bCs/>
          <w:spacing w:val="-5"/>
          <w:sz w:val="24"/>
          <w:szCs w:val="24"/>
        </w:rPr>
        <w:t>重点声环境敏感目标声环境质量监</w:t>
      </w:r>
      <w:r>
        <w:rPr>
          <w:rFonts w:ascii="宋体" w:hAnsi="宋体" w:eastAsia="宋体" w:cs="宋体"/>
          <w:b/>
          <w:bCs/>
          <w:spacing w:val="-6"/>
          <w:sz w:val="24"/>
          <w:szCs w:val="24"/>
        </w:rPr>
        <w:t>测与分析</w:t>
      </w:r>
    </w:p>
    <w:p>
      <w:pPr>
        <w:spacing w:line="266" w:lineRule="auto"/>
        <w:rPr>
          <w:rFonts w:ascii="Arial"/>
          <w:sz w:val="21"/>
        </w:rPr>
      </w:pPr>
    </w:p>
    <w:p>
      <w:pPr>
        <w:pStyle w:val="3"/>
        <w:keepNext w:val="0"/>
        <w:keepLines w:val="0"/>
        <w:pageBreakBefore w:val="0"/>
        <w:widowControl w:val="0"/>
        <w:tabs>
          <w:tab w:val="left" w:pos="5495"/>
        </w:tabs>
        <w:kinsoku/>
        <w:wordWrap/>
        <w:overflowPunct/>
        <w:topLinePunct w:val="0"/>
        <w:autoSpaceDE/>
        <w:autoSpaceDN/>
        <w:bidi w:val="0"/>
        <w:adjustRightInd/>
        <w:snapToGrid w:val="0"/>
        <w:spacing w:after="0"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参照《建设项目竣工环境保护验收技术规范</w:t>
      </w:r>
      <w:r>
        <w:rPr>
          <w:rFonts w:hint="eastAsia" w:ascii="Times New Roman" w:hAnsi="Times New Roman" w:eastAsia="宋体" w:cs="Times New Roman"/>
          <w:color w:val="auto"/>
          <w:kern w:val="2"/>
          <w:sz w:val="24"/>
          <w:szCs w:val="24"/>
          <w:lang w:val="en-US" w:eastAsia="zh-CN" w:bidi="ar-SA"/>
        </w:rPr>
        <w:t xml:space="preserve"> </w:t>
      </w:r>
      <w:r>
        <w:rPr>
          <w:rFonts w:hint="default" w:ascii="Times New Roman" w:hAnsi="Times New Roman" w:eastAsia="宋体" w:cs="Times New Roman"/>
          <w:color w:val="auto"/>
          <w:kern w:val="2"/>
          <w:sz w:val="24"/>
          <w:szCs w:val="24"/>
          <w:lang w:val="en-US" w:eastAsia="zh-CN" w:bidi="ar-SA"/>
        </w:rPr>
        <w:t>公路》（HJ552-2010）有关规定布点，根据本项目实际情况，重点依据以下几项原则布点：</w:t>
      </w:r>
    </w:p>
    <w:p>
      <w:pPr>
        <w:pStyle w:val="18"/>
        <w:keepNext w:val="0"/>
        <w:keepLines w:val="0"/>
        <w:pageBreakBefore w:val="0"/>
        <w:widowControl w:val="0"/>
        <w:numPr>
          <w:ilvl w:val="0"/>
          <w:numId w:val="0"/>
        </w:numPr>
        <w:tabs>
          <w:tab w:val="left" w:pos="1311"/>
        </w:tabs>
        <w:kinsoku/>
        <w:wordWrap/>
        <w:overflowPunct/>
        <w:topLinePunct w:val="0"/>
        <w:autoSpaceDE/>
        <w:autoSpaceDN/>
        <w:bidi w:val="0"/>
        <w:adjustRightInd/>
        <w:snapToGrid w:val="0"/>
        <w:spacing w:line="360" w:lineRule="auto"/>
        <w:ind w:right="0" w:rightChars="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先考虑环境影响报告</w:t>
      </w:r>
      <w:r>
        <w:rPr>
          <w:rFonts w:hint="eastAsia" w:ascii="Times New Roman" w:hAnsi="Times New Roman" w:cs="Times New Roman"/>
          <w:color w:val="auto"/>
          <w:kern w:val="2"/>
          <w:sz w:val="24"/>
          <w:szCs w:val="24"/>
          <w:lang w:val="en-US" w:eastAsia="zh-CN" w:bidi="ar-SA"/>
        </w:rPr>
        <w:t>表</w:t>
      </w:r>
      <w:r>
        <w:rPr>
          <w:rFonts w:hint="default" w:ascii="Times New Roman" w:hAnsi="Times New Roman" w:eastAsia="宋体" w:cs="Times New Roman"/>
          <w:color w:val="auto"/>
          <w:kern w:val="2"/>
          <w:sz w:val="24"/>
          <w:szCs w:val="24"/>
          <w:lang w:val="en-US" w:eastAsia="zh-CN" w:bidi="ar-SA"/>
        </w:rPr>
        <w:t>中的噪声监测点、环评预测超标敏感点、环评拟采取降噪措施以及实际情况变化较大的敏感点。</w:t>
      </w:r>
    </w:p>
    <w:p>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lang w:val="en-US" w:eastAsia="zh-CN"/>
        </w:rPr>
      </w:pP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交通量差别较大的不同路段、位于不同声环境功能区内的代表性居民区敏感点和距离公路中心线100m以内的有代表性的居民集中住宅区和200m以内的学校、医院及</w:t>
      </w:r>
      <w:r>
        <w:rPr>
          <w:rFonts w:hint="eastAsia" w:ascii="Times New Roman" w:hAnsi="Times New Roman" w:eastAsia="宋体" w:cs="Times New Roman"/>
          <w:color w:val="auto"/>
          <w:kern w:val="2"/>
          <w:sz w:val="24"/>
          <w:szCs w:val="24"/>
          <w:lang w:val="en-US" w:eastAsia="zh-CN" w:bidi="ar-SA"/>
        </w:rPr>
        <w:t>居住小区</w:t>
      </w:r>
      <w:r>
        <w:rPr>
          <w:rFonts w:hint="default" w:ascii="Times New Roman" w:hAnsi="Times New Roman" w:eastAsia="宋体" w:cs="Times New Roman"/>
          <w:color w:val="auto"/>
          <w:kern w:val="2"/>
          <w:sz w:val="24"/>
          <w:szCs w:val="24"/>
          <w:lang w:val="en-US" w:eastAsia="zh-CN" w:bidi="ar-SA"/>
        </w:rPr>
        <w:t>等应选择性布点</w:t>
      </w:r>
      <w:r>
        <w:rPr>
          <w:rFonts w:hint="eastAsia" w:ascii="Times New Roman" w:hAnsi="Times New Roman" w:eastAsia="宋体" w:cs="Times New Roman"/>
          <w:color w:val="auto"/>
          <w:kern w:val="2"/>
          <w:sz w:val="24"/>
          <w:szCs w:val="24"/>
          <w:lang w:val="en-US" w:eastAsia="zh-CN" w:bidi="ar-SA"/>
        </w:rPr>
        <w:t>。</w:t>
      </w:r>
    </w:p>
    <w:p>
      <w:pPr>
        <w:numPr>
          <w:ilvl w:val="0"/>
          <w:numId w:val="5"/>
        </w:numPr>
        <w:spacing w:line="360" w:lineRule="auto"/>
        <w:rPr>
          <w:rFonts w:hint="eastAsia" w:ascii="Times New Roman" w:hAnsi="Times New Roman" w:cs="Times New Roman"/>
          <w:b/>
          <w:bCs/>
          <w:sz w:val="24"/>
          <w:szCs w:val="24"/>
          <w:lang w:val="en-US" w:eastAsia="zh-CN"/>
        </w:rPr>
      </w:pPr>
      <w:r>
        <w:rPr>
          <w:rFonts w:ascii="宋体" w:hAnsi="宋体" w:eastAsia="宋体" w:cs="宋体"/>
          <w:b/>
          <w:bCs/>
          <w:spacing w:val="-5"/>
          <w:sz w:val="24"/>
          <w:szCs w:val="24"/>
        </w:rPr>
        <w:t>重点声环境敏感目标</w:t>
      </w:r>
      <w:r>
        <w:rPr>
          <w:rFonts w:hint="eastAsia" w:ascii="Times New Roman" w:hAnsi="Times New Roman" w:cs="Times New Roman"/>
          <w:b/>
          <w:bCs/>
          <w:sz w:val="24"/>
          <w:szCs w:val="24"/>
          <w:lang w:val="en-US" w:eastAsia="zh-CN"/>
        </w:rPr>
        <w:t>噪声监测</w:t>
      </w:r>
    </w:p>
    <w:p>
      <w:pPr>
        <w:pStyle w:val="16"/>
        <w:numPr>
          <w:ilvl w:val="0"/>
          <w:numId w:val="0"/>
        </w:numPr>
        <w:spacing w:line="360" w:lineRule="auto"/>
        <w:rPr>
          <w:rFonts w:hint="default"/>
          <w:sz w:val="24"/>
          <w:szCs w:val="24"/>
          <w:lang w:val="en-US" w:eastAsia="zh-CN"/>
        </w:rPr>
      </w:pPr>
      <w:r>
        <w:rPr>
          <w:rFonts w:hint="eastAsia"/>
          <w:sz w:val="24"/>
          <w:szCs w:val="24"/>
          <w:lang w:val="en-US" w:eastAsia="zh-CN"/>
        </w:rPr>
        <w:t>（1）监测点位布设</w:t>
      </w:r>
    </w:p>
    <w:p>
      <w:pPr>
        <w:pStyle w:val="16"/>
        <w:spacing w:line="360" w:lineRule="auto"/>
        <w:ind w:left="0" w:leftChars="0" w:firstLine="0" w:firstLineChars="0"/>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具体监测布点设置如下表所示。</w:t>
      </w:r>
    </w:p>
    <w:p>
      <w:pPr>
        <w:pStyle w:val="16"/>
        <w:ind w:firstLine="2309" w:firstLineChars="1000"/>
        <w:rPr>
          <w:rFonts w:hint="eastAsia" w:ascii="黑体" w:hAnsi="黑体" w:eastAsia="黑体" w:cs="黑体"/>
          <w:b/>
          <w:bCs/>
          <w:snapToGrid w:val="0"/>
          <w:color w:val="000000"/>
          <w:spacing w:val="-5"/>
          <w:kern w:val="0"/>
          <w:sz w:val="24"/>
          <w:szCs w:val="24"/>
          <w:lang w:val="en-US" w:eastAsia="zh-CN"/>
        </w:rPr>
      </w:pPr>
      <w:r>
        <w:rPr>
          <w:rFonts w:hint="eastAsia" w:ascii="黑体" w:hAnsi="黑体" w:eastAsia="黑体" w:cs="黑体"/>
          <w:b/>
          <w:bCs/>
          <w:snapToGrid w:val="0"/>
          <w:color w:val="000000"/>
          <w:spacing w:val="-5"/>
          <w:kern w:val="0"/>
          <w:sz w:val="24"/>
          <w:szCs w:val="24"/>
          <w:lang w:val="en-US" w:eastAsia="zh-CN"/>
        </w:rPr>
        <w:t>表5.2-1 噪声敏感点监测布点设置一览表</w:t>
      </w:r>
    </w:p>
    <w:tbl>
      <w:tblPr>
        <w:tblStyle w:val="13"/>
        <w:tblW w:w="97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730"/>
        <w:gridCol w:w="4862"/>
        <w:gridCol w:w="945"/>
        <w:gridCol w:w="2022"/>
        <w:gridCol w:w="525"/>
        <w:gridCol w:w="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tblHeader/>
          <w:jc w:val="center"/>
        </w:trPr>
        <w:tc>
          <w:tcPr>
            <w:tcW w:w="73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类别</w:t>
            </w:r>
          </w:p>
        </w:tc>
        <w:tc>
          <w:tcPr>
            <w:tcW w:w="4862"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eastAsia="zh-CN" w:bidi="ar"/>
              </w:rPr>
              <w:t>监</w:t>
            </w:r>
            <w:r>
              <w:rPr>
                <w:rFonts w:hint="default" w:ascii="Times New Roman" w:hAnsi="Times New Roman" w:eastAsia="宋体" w:cs="Times New Roman"/>
                <w:b/>
                <w:color w:val="auto"/>
                <w:sz w:val="21"/>
                <w:szCs w:val="21"/>
                <w:highlight w:val="none"/>
                <w:lang w:bidi="ar"/>
              </w:rPr>
              <w:t>测点位</w:t>
            </w:r>
          </w:p>
        </w:tc>
        <w:tc>
          <w:tcPr>
            <w:tcW w:w="94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点位数</w:t>
            </w:r>
          </w:p>
        </w:tc>
        <w:tc>
          <w:tcPr>
            <w:tcW w:w="2022"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eastAsia="zh-CN" w:bidi="ar"/>
              </w:rPr>
            </w:pPr>
            <w:r>
              <w:rPr>
                <w:rFonts w:hint="default" w:ascii="Times New Roman" w:hAnsi="Times New Roman" w:eastAsia="宋体" w:cs="Times New Roman"/>
                <w:b/>
                <w:color w:val="auto"/>
                <w:sz w:val="21"/>
                <w:szCs w:val="21"/>
                <w:highlight w:val="none"/>
                <w:lang w:eastAsia="zh-CN" w:bidi="ar"/>
              </w:rPr>
              <w:t>监</w:t>
            </w:r>
            <w:r>
              <w:rPr>
                <w:rFonts w:hint="default" w:ascii="Times New Roman" w:hAnsi="Times New Roman" w:eastAsia="宋体" w:cs="Times New Roman"/>
                <w:b/>
                <w:color w:val="auto"/>
                <w:sz w:val="21"/>
                <w:szCs w:val="21"/>
                <w:highlight w:val="none"/>
                <w:lang w:bidi="ar"/>
              </w:rPr>
              <w:t>测</w:t>
            </w:r>
            <w:r>
              <w:rPr>
                <w:rFonts w:hint="default" w:ascii="Times New Roman" w:hAnsi="Times New Roman" w:eastAsia="宋体" w:cs="Times New Roman"/>
                <w:b/>
                <w:color w:val="auto"/>
                <w:sz w:val="21"/>
                <w:szCs w:val="21"/>
                <w:highlight w:val="none"/>
                <w:lang w:eastAsia="zh-CN" w:bidi="ar"/>
              </w:rPr>
              <w:t>项目</w:t>
            </w:r>
          </w:p>
        </w:tc>
        <w:tc>
          <w:tcPr>
            <w:tcW w:w="1192" w:type="dxa"/>
            <w:gridSpan w:val="2"/>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eastAsia="zh-CN" w:bidi="ar"/>
              </w:rPr>
              <w:t>监</w:t>
            </w:r>
            <w:r>
              <w:rPr>
                <w:rFonts w:hint="default" w:ascii="Times New Roman" w:hAnsi="Times New Roman" w:eastAsia="宋体" w:cs="Times New Roman"/>
                <w:b/>
                <w:color w:val="auto"/>
                <w:sz w:val="21"/>
                <w:szCs w:val="21"/>
                <w:highlight w:val="none"/>
                <w:lang w:bidi="ar"/>
              </w:rPr>
              <w:t>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tblHeader/>
          <w:jc w:val="center"/>
        </w:trPr>
        <w:tc>
          <w:tcPr>
            <w:tcW w:w="73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p>
        </w:tc>
        <w:tc>
          <w:tcPr>
            <w:tcW w:w="4862"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p>
        </w:tc>
        <w:tc>
          <w:tcPr>
            <w:tcW w:w="94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p>
        </w:tc>
        <w:tc>
          <w:tcPr>
            <w:tcW w:w="2022"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p>
        </w:tc>
        <w:tc>
          <w:tcPr>
            <w:tcW w:w="525" w:type="dxa"/>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天</w:t>
            </w:r>
          </w:p>
        </w:tc>
        <w:tc>
          <w:tcPr>
            <w:tcW w:w="667" w:type="dxa"/>
            <w:tcBorders>
              <w:tl2br w:val="nil"/>
              <w:tr2bl w:val="nil"/>
            </w:tcBorders>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73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486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23" w:name="噪声1"/>
            <w:r>
              <w:rPr>
                <w:rFonts w:hint="default" w:ascii="Times New Roman" w:hAnsi="Times New Roman" w:eastAsia="宋体" w:cs="Times New Roman"/>
                <w:color w:val="auto"/>
                <w:sz w:val="21"/>
                <w:szCs w:val="21"/>
                <w:highlight w:val="none"/>
                <w:lang w:val="en-US" w:eastAsia="zh-CN"/>
              </w:rPr>
              <w:t xml:space="preserve">1# </w:t>
            </w:r>
            <w:r>
              <w:rPr>
                <w:rFonts w:hint="default" w:ascii="Times New Roman" w:hAnsi="Times New Roman" w:eastAsia="宋体" w:cs="Times New Roman"/>
                <w:sz w:val="21"/>
                <w:szCs w:val="21"/>
              </w:rPr>
              <w:t>凤鸣村7组农户</w:t>
            </w:r>
            <w:bookmarkEnd w:id="23"/>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24" w:name="噪声2"/>
            <w:r>
              <w:rPr>
                <w:rFonts w:hint="default" w:ascii="Times New Roman" w:hAnsi="Times New Roman" w:eastAsia="宋体" w:cs="Times New Roman"/>
                <w:color w:val="auto"/>
                <w:sz w:val="21"/>
                <w:szCs w:val="21"/>
                <w:highlight w:val="none"/>
                <w:lang w:val="en-US" w:eastAsia="zh-CN"/>
              </w:rPr>
              <w:t xml:space="preserve">2# </w:t>
            </w:r>
            <w:r>
              <w:rPr>
                <w:rFonts w:hint="default" w:ascii="Times New Roman" w:hAnsi="Times New Roman" w:eastAsia="宋体" w:cs="Times New Roman"/>
                <w:sz w:val="21"/>
                <w:szCs w:val="21"/>
              </w:rPr>
              <w:t>回龙湾2组农户</w:t>
            </w:r>
            <w:bookmarkEnd w:id="24"/>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25" w:name="噪声3"/>
            <w:r>
              <w:rPr>
                <w:rFonts w:hint="default" w:ascii="Times New Roman" w:hAnsi="Times New Roman" w:eastAsia="宋体" w:cs="Times New Roman"/>
                <w:color w:val="auto"/>
                <w:sz w:val="21"/>
                <w:szCs w:val="21"/>
                <w:highlight w:val="none"/>
                <w:lang w:val="en-US" w:eastAsia="zh-CN"/>
              </w:rPr>
              <w:t xml:space="preserve">3# </w:t>
            </w:r>
            <w:r>
              <w:rPr>
                <w:rFonts w:hint="default" w:ascii="Times New Roman" w:hAnsi="Times New Roman" w:eastAsia="宋体" w:cs="Times New Roman"/>
                <w:sz w:val="21"/>
                <w:szCs w:val="21"/>
              </w:rPr>
              <w:t>六房村2组农户</w:t>
            </w:r>
            <w:bookmarkEnd w:id="25"/>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26" w:name="噪声4"/>
            <w:r>
              <w:rPr>
                <w:rFonts w:hint="default" w:ascii="Times New Roman" w:hAnsi="Times New Roman" w:eastAsia="宋体" w:cs="Times New Roman"/>
                <w:color w:val="auto"/>
                <w:sz w:val="21"/>
                <w:szCs w:val="21"/>
                <w:highlight w:val="none"/>
                <w:lang w:val="en-US" w:eastAsia="zh-CN"/>
              </w:rPr>
              <w:t xml:space="preserve">4# </w:t>
            </w:r>
            <w:r>
              <w:rPr>
                <w:rFonts w:hint="default" w:ascii="Times New Roman" w:hAnsi="Times New Roman" w:eastAsia="宋体" w:cs="Times New Roman"/>
                <w:sz w:val="21"/>
                <w:szCs w:val="21"/>
              </w:rPr>
              <w:t>重滩村农户</w:t>
            </w:r>
            <w:bookmarkEnd w:id="26"/>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27" w:name="噪声5"/>
            <w:r>
              <w:rPr>
                <w:rFonts w:hint="default" w:ascii="Times New Roman" w:hAnsi="Times New Roman" w:eastAsia="宋体" w:cs="Times New Roman"/>
                <w:color w:val="auto"/>
                <w:sz w:val="21"/>
                <w:szCs w:val="21"/>
                <w:highlight w:val="none"/>
                <w:lang w:val="en-US" w:eastAsia="zh-CN"/>
              </w:rPr>
              <w:t xml:space="preserve">5# </w:t>
            </w:r>
            <w:r>
              <w:rPr>
                <w:rFonts w:hint="default" w:ascii="Times New Roman" w:hAnsi="Times New Roman" w:eastAsia="宋体" w:cs="Times New Roman"/>
                <w:sz w:val="21"/>
                <w:szCs w:val="21"/>
              </w:rPr>
              <w:t>西南医科大学附属医院</w:t>
            </w:r>
            <w:bookmarkEnd w:id="27"/>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28" w:name="噪声6"/>
            <w:r>
              <w:rPr>
                <w:rFonts w:hint="default" w:ascii="Times New Roman" w:hAnsi="Times New Roman" w:eastAsia="宋体" w:cs="Times New Roman"/>
                <w:color w:val="auto"/>
                <w:sz w:val="21"/>
                <w:szCs w:val="21"/>
                <w:highlight w:val="none"/>
                <w:lang w:val="en-US" w:eastAsia="zh-CN"/>
              </w:rPr>
              <w:t xml:space="preserve">6# </w:t>
            </w:r>
            <w:r>
              <w:rPr>
                <w:rFonts w:hint="default" w:ascii="Times New Roman" w:hAnsi="Times New Roman" w:eastAsia="宋体" w:cs="Times New Roman"/>
                <w:sz w:val="21"/>
                <w:szCs w:val="21"/>
              </w:rPr>
              <w:t>金鱼村村民</w:t>
            </w:r>
            <w:bookmarkEnd w:id="28"/>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29" w:name="噪声7"/>
            <w:r>
              <w:rPr>
                <w:rFonts w:hint="default" w:ascii="Times New Roman" w:hAnsi="Times New Roman" w:eastAsia="宋体" w:cs="Times New Roman"/>
                <w:color w:val="auto"/>
                <w:sz w:val="21"/>
                <w:szCs w:val="21"/>
                <w:highlight w:val="none"/>
                <w:lang w:val="en-US" w:eastAsia="zh-CN"/>
              </w:rPr>
              <w:t xml:space="preserve">7# </w:t>
            </w:r>
            <w:r>
              <w:rPr>
                <w:rFonts w:hint="default" w:ascii="Times New Roman" w:hAnsi="Times New Roman" w:eastAsia="宋体" w:cs="Times New Roman"/>
                <w:sz w:val="21"/>
                <w:szCs w:val="21"/>
              </w:rPr>
              <w:t>自贡成都外国语学校</w:t>
            </w:r>
            <w:bookmarkEnd w:id="29"/>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0" w:name="噪声8"/>
            <w:r>
              <w:rPr>
                <w:rFonts w:hint="default" w:ascii="Times New Roman" w:hAnsi="Times New Roman" w:eastAsia="宋体" w:cs="Times New Roman"/>
                <w:color w:val="auto"/>
                <w:sz w:val="21"/>
                <w:szCs w:val="21"/>
                <w:highlight w:val="none"/>
                <w:lang w:val="en-US" w:eastAsia="zh-CN"/>
              </w:rPr>
              <w:t xml:space="preserve">8# </w:t>
            </w:r>
            <w:r>
              <w:rPr>
                <w:rFonts w:hint="default" w:ascii="Times New Roman" w:hAnsi="Times New Roman" w:eastAsia="宋体" w:cs="Times New Roman"/>
                <w:sz w:val="21"/>
                <w:szCs w:val="21"/>
              </w:rPr>
              <w:t>华景苑小区临路第一排</w:t>
            </w:r>
            <w:r>
              <w:rPr>
                <w:rFonts w:hint="default" w:ascii="Times New Roman" w:hAnsi="Times New Roman" w:eastAsia="宋体" w:cs="Times New Roman"/>
                <w:sz w:val="21"/>
                <w:szCs w:val="21"/>
                <w:lang w:val="en-US" w:eastAsia="zh-CN"/>
              </w:rPr>
              <w:t>1F</w:t>
            </w:r>
            <w:bookmarkEnd w:id="30"/>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1" w:name="噪声9"/>
            <w:r>
              <w:rPr>
                <w:rFonts w:hint="default" w:ascii="Times New Roman" w:hAnsi="Times New Roman" w:eastAsia="宋体" w:cs="Times New Roman"/>
                <w:color w:val="auto"/>
                <w:sz w:val="21"/>
                <w:szCs w:val="21"/>
                <w:highlight w:val="none"/>
                <w:lang w:val="en-US" w:eastAsia="zh-CN"/>
              </w:rPr>
              <w:t xml:space="preserve">9# </w:t>
            </w:r>
            <w:r>
              <w:rPr>
                <w:rFonts w:hint="default" w:ascii="Times New Roman" w:hAnsi="Times New Roman" w:eastAsia="宋体" w:cs="Times New Roman"/>
                <w:sz w:val="21"/>
                <w:szCs w:val="21"/>
              </w:rPr>
              <w:t>华景苑小区临路第一排</w:t>
            </w:r>
            <w:r>
              <w:rPr>
                <w:rFonts w:hint="default" w:ascii="Times New Roman" w:hAnsi="Times New Roman" w:eastAsia="宋体" w:cs="Times New Roman"/>
                <w:sz w:val="21"/>
                <w:szCs w:val="21"/>
                <w:lang w:val="en-US" w:eastAsia="zh-CN"/>
              </w:rPr>
              <w:t>3F</w:t>
            </w:r>
            <w:bookmarkEnd w:id="31"/>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2" w:name="噪声10"/>
            <w:r>
              <w:rPr>
                <w:rFonts w:hint="default" w:ascii="Times New Roman" w:hAnsi="Times New Roman" w:eastAsia="宋体" w:cs="Times New Roman"/>
                <w:color w:val="auto"/>
                <w:sz w:val="21"/>
                <w:szCs w:val="21"/>
                <w:highlight w:val="none"/>
                <w:lang w:val="en-US" w:eastAsia="zh-CN"/>
              </w:rPr>
              <w:t xml:space="preserve">10# </w:t>
            </w:r>
            <w:r>
              <w:rPr>
                <w:rFonts w:hint="default" w:ascii="Times New Roman" w:hAnsi="Times New Roman" w:eastAsia="宋体" w:cs="Times New Roman"/>
                <w:sz w:val="21"/>
                <w:szCs w:val="21"/>
              </w:rPr>
              <w:t>华景苑小区临路第一排</w:t>
            </w:r>
            <w:r>
              <w:rPr>
                <w:rFonts w:hint="default" w:ascii="Times New Roman" w:hAnsi="Times New Roman" w:eastAsia="宋体" w:cs="Times New Roman"/>
                <w:sz w:val="21"/>
                <w:szCs w:val="21"/>
                <w:lang w:val="en-US" w:eastAsia="zh-CN"/>
              </w:rPr>
              <w:t>5F</w:t>
            </w:r>
            <w:bookmarkEnd w:id="32"/>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3" w:name="噪声11"/>
            <w:r>
              <w:rPr>
                <w:rFonts w:hint="default" w:ascii="Times New Roman" w:hAnsi="Times New Roman" w:eastAsia="宋体" w:cs="Times New Roman"/>
                <w:color w:val="auto"/>
                <w:sz w:val="21"/>
                <w:szCs w:val="21"/>
                <w:highlight w:val="none"/>
                <w:lang w:val="en-US" w:eastAsia="zh-CN"/>
              </w:rPr>
              <w:t xml:space="preserve">11# </w:t>
            </w:r>
            <w:r>
              <w:rPr>
                <w:rFonts w:hint="default" w:ascii="Times New Roman" w:hAnsi="Times New Roman" w:eastAsia="宋体" w:cs="Times New Roman"/>
                <w:sz w:val="21"/>
                <w:szCs w:val="21"/>
              </w:rPr>
              <w:t>华景苑小区临路边界30m外房屋第1层</w:t>
            </w:r>
            <w:bookmarkEnd w:id="33"/>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4" w:name="噪声12"/>
            <w:r>
              <w:rPr>
                <w:rFonts w:hint="default" w:ascii="Times New Roman" w:hAnsi="Times New Roman" w:eastAsia="宋体" w:cs="Times New Roman"/>
                <w:color w:val="auto"/>
                <w:sz w:val="21"/>
                <w:szCs w:val="21"/>
                <w:highlight w:val="none"/>
                <w:lang w:val="en-US" w:eastAsia="zh-CN"/>
              </w:rPr>
              <w:t xml:space="preserve">12# </w:t>
            </w:r>
            <w:r>
              <w:rPr>
                <w:rFonts w:hint="default" w:ascii="Times New Roman" w:hAnsi="Times New Roman" w:eastAsia="宋体" w:cs="Times New Roman"/>
                <w:sz w:val="21"/>
                <w:szCs w:val="21"/>
              </w:rPr>
              <w:t>瑞和盛景小区临路第一排</w:t>
            </w:r>
            <w:r>
              <w:rPr>
                <w:rFonts w:hint="default" w:ascii="Times New Roman" w:hAnsi="Times New Roman" w:eastAsia="宋体" w:cs="Times New Roman"/>
                <w:sz w:val="21"/>
                <w:szCs w:val="21"/>
                <w:lang w:val="en-US" w:eastAsia="zh-CN"/>
              </w:rPr>
              <w:t>1F</w:t>
            </w:r>
            <w:bookmarkEnd w:id="34"/>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5" w:name="噪声13"/>
            <w:r>
              <w:rPr>
                <w:rFonts w:hint="default" w:ascii="Times New Roman" w:hAnsi="Times New Roman" w:eastAsia="宋体" w:cs="Times New Roman"/>
                <w:color w:val="auto"/>
                <w:sz w:val="21"/>
                <w:szCs w:val="21"/>
                <w:highlight w:val="none"/>
                <w:lang w:val="en-US" w:eastAsia="zh-CN"/>
              </w:rPr>
              <w:t xml:space="preserve">13# </w:t>
            </w:r>
            <w:r>
              <w:rPr>
                <w:rFonts w:hint="default" w:ascii="Times New Roman" w:hAnsi="Times New Roman" w:eastAsia="宋体" w:cs="Times New Roman"/>
                <w:sz w:val="21"/>
                <w:szCs w:val="21"/>
              </w:rPr>
              <w:t>瑞和盛景小区临路第一排</w:t>
            </w:r>
            <w:r>
              <w:rPr>
                <w:rFonts w:hint="default" w:ascii="Times New Roman" w:hAnsi="Times New Roman" w:eastAsia="宋体" w:cs="Times New Roman"/>
                <w:sz w:val="21"/>
                <w:szCs w:val="21"/>
                <w:lang w:val="en-US" w:eastAsia="zh-CN"/>
              </w:rPr>
              <w:t>3F</w:t>
            </w:r>
            <w:bookmarkEnd w:id="35"/>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6" w:name="噪声14"/>
            <w:r>
              <w:rPr>
                <w:rFonts w:hint="default" w:ascii="Times New Roman" w:hAnsi="Times New Roman" w:eastAsia="宋体" w:cs="Times New Roman"/>
                <w:color w:val="auto"/>
                <w:sz w:val="21"/>
                <w:szCs w:val="21"/>
                <w:highlight w:val="none"/>
                <w:lang w:val="en-US" w:eastAsia="zh-CN"/>
              </w:rPr>
              <w:t xml:space="preserve">14# </w:t>
            </w:r>
            <w:r>
              <w:rPr>
                <w:rFonts w:hint="default" w:ascii="Times New Roman" w:hAnsi="Times New Roman" w:eastAsia="宋体" w:cs="Times New Roman"/>
                <w:sz w:val="21"/>
                <w:szCs w:val="21"/>
              </w:rPr>
              <w:t>瑞和盛景小区临路第一排</w:t>
            </w:r>
            <w:r>
              <w:rPr>
                <w:rFonts w:hint="default" w:ascii="Times New Roman" w:hAnsi="Times New Roman" w:eastAsia="宋体" w:cs="Times New Roman"/>
                <w:sz w:val="21"/>
                <w:szCs w:val="21"/>
                <w:lang w:val="en-US" w:eastAsia="zh-CN"/>
              </w:rPr>
              <w:t>5F</w:t>
            </w:r>
            <w:bookmarkEnd w:id="36"/>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7" w:name="噪声15"/>
            <w:r>
              <w:rPr>
                <w:rFonts w:hint="default" w:ascii="Times New Roman" w:hAnsi="Times New Roman" w:eastAsia="宋体" w:cs="Times New Roman"/>
                <w:color w:val="auto"/>
                <w:sz w:val="21"/>
                <w:szCs w:val="21"/>
                <w:highlight w:val="none"/>
                <w:lang w:val="en-US" w:eastAsia="zh-CN"/>
              </w:rPr>
              <w:t xml:space="preserve">15# </w:t>
            </w:r>
            <w:r>
              <w:rPr>
                <w:rFonts w:hint="default" w:ascii="Times New Roman" w:hAnsi="Times New Roman" w:eastAsia="宋体" w:cs="Times New Roman"/>
                <w:sz w:val="21"/>
                <w:szCs w:val="21"/>
              </w:rPr>
              <w:t>瑞和盛景小区临路第一排</w:t>
            </w:r>
            <w:r>
              <w:rPr>
                <w:rFonts w:hint="default" w:ascii="Times New Roman" w:hAnsi="Times New Roman" w:eastAsia="宋体" w:cs="Times New Roman"/>
                <w:sz w:val="21"/>
                <w:szCs w:val="21"/>
                <w:lang w:val="en-US" w:eastAsia="zh-CN"/>
              </w:rPr>
              <w:t>9F</w:t>
            </w:r>
            <w:bookmarkEnd w:id="37"/>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8" w:name="噪声16"/>
            <w:r>
              <w:rPr>
                <w:rFonts w:hint="default" w:ascii="Times New Roman" w:hAnsi="Times New Roman" w:eastAsia="宋体" w:cs="Times New Roman"/>
                <w:color w:val="auto"/>
                <w:sz w:val="21"/>
                <w:szCs w:val="21"/>
                <w:highlight w:val="none"/>
                <w:lang w:val="en-US" w:eastAsia="zh-CN"/>
              </w:rPr>
              <w:t xml:space="preserve">16# </w:t>
            </w:r>
            <w:r>
              <w:rPr>
                <w:rFonts w:hint="default" w:ascii="Times New Roman" w:hAnsi="Times New Roman" w:eastAsia="宋体" w:cs="Times New Roman"/>
                <w:sz w:val="21"/>
                <w:szCs w:val="21"/>
              </w:rPr>
              <w:t>瑞和盛景小区临路边界30m外房屋第1层</w:t>
            </w:r>
            <w:bookmarkEnd w:id="38"/>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39" w:name="噪声17"/>
            <w:r>
              <w:rPr>
                <w:rFonts w:hint="default" w:ascii="Times New Roman" w:hAnsi="Times New Roman" w:eastAsia="宋体" w:cs="Times New Roman"/>
                <w:color w:val="auto"/>
                <w:sz w:val="21"/>
                <w:szCs w:val="21"/>
                <w:highlight w:val="none"/>
                <w:lang w:val="en-US" w:eastAsia="zh-CN"/>
              </w:rPr>
              <w:t xml:space="preserve">17# </w:t>
            </w:r>
            <w:r>
              <w:rPr>
                <w:rFonts w:hint="default" w:ascii="Times New Roman" w:hAnsi="Times New Roman" w:eastAsia="宋体" w:cs="Times New Roman"/>
                <w:sz w:val="21"/>
                <w:szCs w:val="21"/>
              </w:rPr>
              <w:t>泰丰国际小区临路第一排</w:t>
            </w:r>
            <w:r>
              <w:rPr>
                <w:rFonts w:hint="default" w:ascii="Times New Roman" w:hAnsi="Times New Roman" w:eastAsia="宋体" w:cs="Times New Roman"/>
                <w:sz w:val="21"/>
                <w:szCs w:val="21"/>
                <w:lang w:val="en-US" w:eastAsia="zh-CN"/>
              </w:rPr>
              <w:t>1F</w:t>
            </w:r>
            <w:bookmarkEnd w:id="39"/>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0" w:name="噪声18"/>
            <w:r>
              <w:rPr>
                <w:rFonts w:hint="default" w:ascii="Times New Roman" w:hAnsi="Times New Roman" w:eastAsia="宋体" w:cs="Times New Roman"/>
                <w:color w:val="auto"/>
                <w:sz w:val="21"/>
                <w:szCs w:val="21"/>
                <w:highlight w:val="none"/>
                <w:lang w:val="en-US" w:eastAsia="zh-CN"/>
              </w:rPr>
              <w:t xml:space="preserve">18# </w:t>
            </w:r>
            <w:r>
              <w:rPr>
                <w:rFonts w:hint="default" w:ascii="Times New Roman" w:hAnsi="Times New Roman" w:eastAsia="宋体" w:cs="Times New Roman"/>
                <w:sz w:val="21"/>
                <w:szCs w:val="21"/>
              </w:rPr>
              <w:t>泰丰国际小区临路第一排</w:t>
            </w:r>
            <w:r>
              <w:rPr>
                <w:rFonts w:hint="default" w:ascii="Times New Roman" w:hAnsi="Times New Roman" w:eastAsia="宋体" w:cs="Times New Roman"/>
                <w:sz w:val="21"/>
                <w:szCs w:val="21"/>
                <w:lang w:val="en-US" w:eastAsia="zh-CN"/>
              </w:rPr>
              <w:t>3F</w:t>
            </w:r>
            <w:bookmarkEnd w:id="40"/>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1" w:name="噪声19"/>
            <w:r>
              <w:rPr>
                <w:rFonts w:hint="default" w:ascii="Times New Roman" w:hAnsi="Times New Roman" w:eastAsia="宋体" w:cs="Times New Roman"/>
                <w:color w:val="auto"/>
                <w:sz w:val="21"/>
                <w:szCs w:val="21"/>
                <w:highlight w:val="none"/>
                <w:lang w:val="en-US" w:eastAsia="zh-CN"/>
              </w:rPr>
              <w:t xml:space="preserve">19# </w:t>
            </w:r>
            <w:r>
              <w:rPr>
                <w:rFonts w:hint="default" w:ascii="Times New Roman" w:hAnsi="Times New Roman" w:eastAsia="宋体" w:cs="Times New Roman"/>
                <w:sz w:val="21"/>
                <w:szCs w:val="21"/>
              </w:rPr>
              <w:t>泰丰国际小区临路第一排</w:t>
            </w:r>
            <w:r>
              <w:rPr>
                <w:rFonts w:hint="default" w:ascii="Times New Roman" w:hAnsi="Times New Roman" w:eastAsia="宋体" w:cs="Times New Roman"/>
                <w:sz w:val="21"/>
                <w:szCs w:val="21"/>
                <w:lang w:val="en-US" w:eastAsia="zh-CN"/>
              </w:rPr>
              <w:t>5F</w:t>
            </w:r>
            <w:bookmarkEnd w:id="41"/>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2" w:name="噪声20"/>
            <w:r>
              <w:rPr>
                <w:rFonts w:hint="default" w:ascii="Times New Roman" w:hAnsi="Times New Roman" w:eastAsia="宋体" w:cs="Times New Roman"/>
                <w:color w:val="auto"/>
                <w:sz w:val="21"/>
                <w:szCs w:val="21"/>
                <w:highlight w:val="none"/>
                <w:lang w:val="en-US" w:eastAsia="zh-CN"/>
              </w:rPr>
              <w:t xml:space="preserve">20# </w:t>
            </w:r>
            <w:r>
              <w:rPr>
                <w:rFonts w:hint="default" w:ascii="Times New Roman" w:hAnsi="Times New Roman" w:eastAsia="宋体" w:cs="Times New Roman"/>
                <w:sz w:val="21"/>
                <w:szCs w:val="21"/>
              </w:rPr>
              <w:t>泰丰国际小区临路第一排</w:t>
            </w:r>
            <w:r>
              <w:rPr>
                <w:rFonts w:hint="default" w:ascii="Times New Roman" w:hAnsi="Times New Roman" w:eastAsia="宋体" w:cs="Times New Roman"/>
                <w:sz w:val="21"/>
                <w:szCs w:val="21"/>
                <w:lang w:val="en-US" w:eastAsia="zh-CN"/>
              </w:rPr>
              <w:t>9F</w:t>
            </w:r>
            <w:bookmarkEnd w:id="42"/>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3" w:name="噪声21"/>
            <w:r>
              <w:rPr>
                <w:rFonts w:hint="default" w:ascii="Times New Roman" w:hAnsi="Times New Roman" w:eastAsia="宋体" w:cs="Times New Roman"/>
                <w:color w:val="auto"/>
                <w:sz w:val="21"/>
                <w:szCs w:val="21"/>
                <w:highlight w:val="none"/>
                <w:lang w:val="en-US" w:eastAsia="zh-CN"/>
              </w:rPr>
              <w:t xml:space="preserve">21# </w:t>
            </w:r>
            <w:r>
              <w:rPr>
                <w:rFonts w:hint="default" w:ascii="Times New Roman" w:hAnsi="Times New Roman" w:eastAsia="宋体" w:cs="Times New Roman"/>
                <w:sz w:val="21"/>
                <w:szCs w:val="21"/>
              </w:rPr>
              <w:t>泰丰国际小区临路边界30m外房屋第1层</w:t>
            </w:r>
            <w:bookmarkEnd w:id="43"/>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4" w:name="噪声22"/>
            <w:r>
              <w:rPr>
                <w:rFonts w:hint="default" w:ascii="Times New Roman" w:hAnsi="Times New Roman" w:eastAsia="宋体" w:cs="Times New Roman"/>
                <w:color w:val="auto"/>
                <w:sz w:val="21"/>
                <w:szCs w:val="21"/>
                <w:highlight w:val="none"/>
                <w:lang w:val="en-US" w:eastAsia="zh-CN"/>
              </w:rPr>
              <w:t>22# 紫荆城邦小区</w:t>
            </w:r>
            <w:r>
              <w:rPr>
                <w:rFonts w:hint="default" w:ascii="Times New Roman" w:hAnsi="Times New Roman" w:eastAsia="宋体" w:cs="Times New Roman"/>
                <w:sz w:val="21"/>
                <w:szCs w:val="21"/>
              </w:rPr>
              <w:t>临路第一排</w:t>
            </w:r>
            <w:r>
              <w:rPr>
                <w:rFonts w:hint="default" w:ascii="Times New Roman" w:hAnsi="Times New Roman" w:eastAsia="宋体" w:cs="Times New Roman"/>
                <w:sz w:val="21"/>
                <w:szCs w:val="21"/>
                <w:lang w:val="en-US" w:eastAsia="zh-CN"/>
              </w:rPr>
              <w:t>1F</w:t>
            </w:r>
            <w:bookmarkEnd w:id="44"/>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5" w:name="噪声23"/>
            <w:r>
              <w:rPr>
                <w:rFonts w:hint="default" w:ascii="Times New Roman" w:hAnsi="Times New Roman" w:eastAsia="宋体" w:cs="Times New Roman"/>
                <w:color w:val="auto"/>
                <w:sz w:val="21"/>
                <w:szCs w:val="21"/>
                <w:highlight w:val="none"/>
                <w:lang w:val="en-US" w:eastAsia="zh-CN"/>
              </w:rPr>
              <w:t>23# 紫荆城邦小区</w:t>
            </w:r>
            <w:r>
              <w:rPr>
                <w:rFonts w:hint="default" w:ascii="Times New Roman" w:hAnsi="Times New Roman" w:eastAsia="宋体" w:cs="Times New Roman"/>
                <w:sz w:val="21"/>
                <w:szCs w:val="21"/>
              </w:rPr>
              <w:t>临路第一排</w:t>
            </w:r>
            <w:r>
              <w:rPr>
                <w:rFonts w:hint="default" w:ascii="Times New Roman" w:hAnsi="Times New Roman" w:eastAsia="宋体" w:cs="Times New Roman"/>
                <w:sz w:val="21"/>
                <w:szCs w:val="21"/>
                <w:lang w:val="en-US" w:eastAsia="zh-CN"/>
              </w:rPr>
              <w:t>3F</w:t>
            </w:r>
            <w:bookmarkEnd w:id="45"/>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6" w:name="噪声24"/>
            <w:r>
              <w:rPr>
                <w:rFonts w:hint="default" w:ascii="Times New Roman" w:hAnsi="Times New Roman" w:eastAsia="宋体" w:cs="Times New Roman"/>
                <w:color w:val="auto"/>
                <w:sz w:val="21"/>
                <w:szCs w:val="21"/>
                <w:highlight w:val="none"/>
                <w:lang w:val="en-US" w:eastAsia="zh-CN"/>
              </w:rPr>
              <w:t>24# 紫荆城邦小区</w:t>
            </w:r>
            <w:r>
              <w:rPr>
                <w:rFonts w:hint="default" w:ascii="Times New Roman" w:hAnsi="Times New Roman" w:eastAsia="宋体" w:cs="Times New Roman"/>
                <w:sz w:val="21"/>
                <w:szCs w:val="21"/>
              </w:rPr>
              <w:t>临路第一排</w:t>
            </w:r>
            <w:r>
              <w:rPr>
                <w:rFonts w:hint="default" w:ascii="Times New Roman" w:hAnsi="Times New Roman" w:eastAsia="宋体" w:cs="Times New Roman"/>
                <w:sz w:val="21"/>
                <w:szCs w:val="21"/>
                <w:lang w:val="en-US" w:eastAsia="zh-CN"/>
              </w:rPr>
              <w:t>5F</w:t>
            </w:r>
            <w:bookmarkEnd w:id="46"/>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7" w:name="噪声25"/>
            <w:r>
              <w:rPr>
                <w:rFonts w:hint="default" w:ascii="Times New Roman" w:hAnsi="Times New Roman" w:eastAsia="宋体" w:cs="Times New Roman"/>
                <w:color w:val="auto"/>
                <w:sz w:val="21"/>
                <w:szCs w:val="21"/>
                <w:highlight w:val="none"/>
                <w:lang w:val="en-US" w:eastAsia="zh-CN"/>
              </w:rPr>
              <w:t>25# 紫荆城邦小区</w:t>
            </w:r>
            <w:r>
              <w:rPr>
                <w:rFonts w:hint="default" w:ascii="Times New Roman" w:hAnsi="Times New Roman" w:eastAsia="宋体" w:cs="Times New Roman"/>
                <w:sz w:val="21"/>
                <w:szCs w:val="21"/>
              </w:rPr>
              <w:t>临路第一排</w:t>
            </w:r>
            <w:r>
              <w:rPr>
                <w:rFonts w:hint="default" w:ascii="Times New Roman" w:hAnsi="Times New Roman" w:eastAsia="宋体" w:cs="Times New Roman"/>
                <w:sz w:val="21"/>
                <w:szCs w:val="21"/>
                <w:lang w:val="en-US" w:eastAsia="zh-CN"/>
              </w:rPr>
              <w:t>9F</w:t>
            </w:r>
            <w:bookmarkEnd w:id="47"/>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8" w:name="噪声26"/>
            <w:r>
              <w:rPr>
                <w:rFonts w:hint="default" w:ascii="Times New Roman" w:hAnsi="Times New Roman" w:eastAsia="宋体" w:cs="Times New Roman"/>
                <w:color w:val="auto"/>
                <w:sz w:val="21"/>
                <w:szCs w:val="21"/>
                <w:highlight w:val="none"/>
                <w:lang w:val="en-US" w:eastAsia="zh-CN"/>
              </w:rPr>
              <w:t>26# 紫荆城邦小区</w:t>
            </w:r>
            <w:r>
              <w:rPr>
                <w:rFonts w:hint="default" w:ascii="Times New Roman" w:hAnsi="Times New Roman" w:eastAsia="宋体" w:cs="Times New Roman"/>
                <w:sz w:val="21"/>
                <w:szCs w:val="21"/>
              </w:rPr>
              <w:t>临路边界30m外房屋第1层</w:t>
            </w:r>
            <w:bookmarkEnd w:id="48"/>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49" w:name="噪声27"/>
            <w:r>
              <w:rPr>
                <w:rFonts w:hint="default" w:ascii="Times New Roman" w:hAnsi="Times New Roman" w:eastAsia="宋体" w:cs="Times New Roman"/>
                <w:color w:val="auto"/>
                <w:sz w:val="21"/>
                <w:szCs w:val="21"/>
                <w:highlight w:val="none"/>
                <w:lang w:val="en-US" w:eastAsia="zh-CN"/>
              </w:rPr>
              <w:t xml:space="preserve">27# </w:t>
            </w:r>
            <w:r>
              <w:rPr>
                <w:rFonts w:hint="default" w:ascii="Times New Roman" w:hAnsi="Times New Roman" w:eastAsia="宋体" w:cs="Times New Roman"/>
                <w:sz w:val="21"/>
                <w:szCs w:val="21"/>
              </w:rPr>
              <w:t>绿地小区临路第一排</w:t>
            </w:r>
            <w:r>
              <w:rPr>
                <w:rFonts w:hint="default" w:ascii="Times New Roman" w:hAnsi="Times New Roman" w:eastAsia="宋体" w:cs="Times New Roman"/>
                <w:sz w:val="21"/>
                <w:szCs w:val="21"/>
                <w:lang w:val="en-US" w:eastAsia="zh-CN"/>
              </w:rPr>
              <w:t>1F</w:t>
            </w:r>
            <w:bookmarkEnd w:id="49"/>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0" w:name="噪声28"/>
            <w:r>
              <w:rPr>
                <w:rFonts w:hint="default" w:ascii="Times New Roman" w:hAnsi="Times New Roman" w:eastAsia="宋体" w:cs="Times New Roman"/>
                <w:color w:val="auto"/>
                <w:sz w:val="21"/>
                <w:szCs w:val="21"/>
                <w:highlight w:val="none"/>
                <w:lang w:val="en-US" w:eastAsia="zh-CN"/>
              </w:rPr>
              <w:t xml:space="preserve">28# </w:t>
            </w:r>
            <w:r>
              <w:rPr>
                <w:rFonts w:hint="default" w:ascii="Times New Roman" w:hAnsi="Times New Roman" w:eastAsia="宋体" w:cs="Times New Roman"/>
                <w:sz w:val="21"/>
                <w:szCs w:val="21"/>
              </w:rPr>
              <w:t>绿地小区临路第一排</w:t>
            </w:r>
            <w:r>
              <w:rPr>
                <w:rFonts w:hint="default" w:ascii="Times New Roman" w:hAnsi="Times New Roman" w:eastAsia="宋体" w:cs="Times New Roman"/>
                <w:sz w:val="21"/>
                <w:szCs w:val="21"/>
                <w:lang w:val="en-US" w:eastAsia="zh-CN"/>
              </w:rPr>
              <w:t>3F</w:t>
            </w:r>
            <w:bookmarkEnd w:id="50"/>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1" w:name="噪声29"/>
            <w:r>
              <w:rPr>
                <w:rFonts w:hint="default" w:ascii="Times New Roman" w:hAnsi="Times New Roman" w:eastAsia="宋体" w:cs="Times New Roman"/>
                <w:color w:val="auto"/>
                <w:sz w:val="21"/>
                <w:szCs w:val="21"/>
                <w:highlight w:val="none"/>
                <w:lang w:val="en-US" w:eastAsia="zh-CN"/>
              </w:rPr>
              <w:t xml:space="preserve">29# </w:t>
            </w:r>
            <w:r>
              <w:rPr>
                <w:rFonts w:hint="default" w:ascii="Times New Roman" w:hAnsi="Times New Roman" w:eastAsia="宋体" w:cs="Times New Roman"/>
                <w:sz w:val="21"/>
                <w:szCs w:val="21"/>
              </w:rPr>
              <w:t>绿地小区临路第一排</w:t>
            </w:r>
            <w:r>
              <w:rPr>
                <w:rFonts w:hint="default" w:ascii="Times New Roman" w:hAnsi="Times New Roman" w:eastAsia="宋体" w:cs="Times New Roman"/>
                <w:sz w:val="21"/>
                <w:szCs w:val="21"/>
                <w:lang w:val="en-US" w:eastAsia="zh-CN"/>
              </w:rPr>
              <w:t>5F</w:t>
            </w:r>
            <w:bookmarkEnd w:id="51"/>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2" w:name="噪声30"/>
            <w:r>
              <w:rPr>
                <w:rFonts w:hint="default" w:ascii="Times New Roman" w:hAnsi="Times New Roman" w:eastAsia="宋体" w:cs="Times New Roman"/>
                <w:color w:val="auto"/>
                <w:sz w:val="21"/>
                <w:szCs w:val="21"/>
                <w:highlight w:val="none"/>
                <w:lang w:val="en-US" w:eastAsia="zh-CN"/>
              </w:rPr>
              <w:t xml:space="preserve">30# </w:t>
            </w:r>
            <w:r>
              <w:rPr>
                <w:rFonts w:hint="default" w:ascii="Times New Roman" w:hAnsi="Times New Roman" w:eastAsia="宋体" w:cs="Times New Roman"/>
                <w:sz w:val="21"/>
                <w:szCs w:val="21"/>
              </w:rPr>
              <w:t>绿地小区临路第一排</w:t>
            </w:r>
            <w:r>
              <w:rPr>
                <w:rFonts w:hint="default" w:ascii="Times New Roman" w:hAnsi="Times New Roman" w:eastAsia="宋体" w:cs="Times New Roman"/>
                <w:sz w:val="21"/>
                <w:szCs w:val="21"/>
                <w:lang w:val="en-US" w:eastAsia="zh-CN"/>
              </w:rPr>
              <w:t>9F</w:t>
            </w:r>
            <w:bookmarkEnd w:id="52"/>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3" w:name="噪声31"/>
            <w:r>
              <w:rPr>
                <w:rFonts w:hint="default" w:ascii="Times New Roman" w:hAnsi="Times New Roman" w:eastAsia="宋体" w:cs="Times New Roman"/>
                <w:color w:val="auto"/>
                <w:sz w:val="21"/>
                <w:szCs w:val="21"/>
                <w:highlight w:val="none"/>
                <w:lang w:val="en-US" w:eastAsia="zh-CN"/>
              </w:rPr>
              <w:t xml:space="preserve">31# </w:t>
            </w:r>
            <w:r>
              <w:rPr>
                <w:rFonts w:hint="default" w:ascii="Times New Roman" w:hAnsi="Times New Roman" w:eastAsia="宋体" w:cs="Times New Roman"/>
                <w:sz w:val="21"/>
                <w:szCs w:val="21"/>
              </w:rPr>
              <w:t>绿地小区临路边界30m外房屋第1层</w:t>
            </w:r>
            <w:bookmarkEnd w:id="53"/>
          </w:p>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bookmarkStart w:id="54" w:name="噪声32"/>
            <w:r>
              <w:rPr>
                <w:rFonts w:hint="default" w:ascii="Times New Roman" w:hAnsi="Times New Roman" w:eastAsia="宋体" w:cs="Times New Roman"/>
                <w:color w:val="auto"/>
                <w:sz w:val="21"/>
                <w:szCs w:val="21"/>
                <w:highlight w:val="none"/>
                <w:lang w:val="en-US" w:eastAsia="zh-CN"/>
              </w:rPr>
              <w:t xml:space="preserve">32# </w:t>
            </w:r>
            <w:r>
              <w:rPr>
                <w:rFonts w:hint="default" w:ascii="Times New Roman" w:hAnsi="Times New Roman" w:eastAsia="宋体" w:cs="Times New Roman"/>
                <w:sz w:val="21"/>
                <w:szCs w:val="21"/>
              </w:rPr>
              <w:t>晶泽汐越小区临路第一排</w:t>
            </w:r>
            <w:r>
              <w:rPr>
                <w:rFonts w:hint="default" w:ascii="Times New Roman" w:hAnsi="Times New Roman" w:eastAsia="宋体" w:cs="Times New Roman"/>
                <w:sz w:val="21"/>
                <w:szCs w:val="21"/>
                <w:lang w:val="en-US" w:eastAsia="zh-CN"/>
              </w:rPr>
              <w:t>1F</w:t>
            </w:r>
            <w:bookmarkEnd w:id="54"/>
          </w:p>
        </w:tc>
        <w:tc>
          <w:tcPr>
            <w:tcW w:w="94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bidi="ar"/>
              </w:rPr>
              <w:t>45</w:t>
            </w:r>
          </w:p>
        </w:tc>
        <w:tc>
          <w:tcPr>
            <w:tcW w:w="2022" w:type="dxa"/>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环境噪声</w:t>
            </w:r>
          </w:p>
        </w:tc>
        <w:tc>
          <w:tcPr>
            <w:tcW w:w="525"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bidi="ar"/>
              </w:rPr>
              <w:t>1</w:t>
            </w:r>
          </w:p>
        </w:tc>
        <w:tc>
          <w:tcPr>
            <w:tcW w:w="66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lang w:bidi="ar"/>
              </w:rPr>
            </w:pPr>
            <w:r>
              <w:rPr>
                <w:rFonts w:hint="default" w:ascii="Times New Roman" w:hAnsi="Times New Roman" w:eastAsia="宋体" w:cs="Times New Roman"/>
                <w:bCs/>
                <w:color w:val="auto"/>
                <w:sz w:val="21"/>
                <w:szCs w:val="21"/>
                <w:highlight w:val="none"/>
                <w:lang w:bidi="ar"/>
              </w:rPr>
              <w:t>昼夜</w:t>
            </w:r>
          </w:p>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bidi="ar"/>
              </w:rPr>
              <w:t>各</w:t>
            </w:r>
            <w:r>
              <w:rPr>
                <w:rFonts w:hint="default" w:ascii="Times New Roman" w:hAnsi="Times New Roman" w:eastAsia="宋体" w:cs="Times New Roman"/>
                <w:bCs/>
                <w:color w:val="auto"/>
                <w:sz w:val="21"/>
                <w:szCs w:val="21"/>
                <w:highlight w:val="none"/>
                <w:lang w:val="en-US" w:eastAsia="zh-CN" w:bidi="ar"/>
              </w:rPr>
              <w:t>1</w:t>
            </w:r>
            <w:r>
              <w:rPr>
                <w:rFonts w:hint="default" w:ascii="Times New Roman" w:hAnsi="Times New Roman" w:eastAsia="宋体" w:cs="Times New Roman"/>
                <w:bCs/>
                <w:color w:val="auto"/>
                <w:sz w:val="21"/>
                <w:szCs w:val="21"/>
                <w:highlight w:val="none"/>
                <w:lang w:bidi="ar"/>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73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486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5" w:name="噪声33"/>
            <w:r>
              <w:rPr>
                <w:rFonts w:hint="default" w:ascii="Times New Roman" w:hAnsi="Times New Roman" w:eastAsia="宋体" w:cs="Times New Roman"/>
                <w:color w:val="auto"/>
                <w:sz w:val="21"/>
                <w:szCs w:val="21"/>
                <w:highlight w:val="none"/>
                <w:lang w:val="en-US" w:eastAsia="zh-CN"/>
              </w:rPr>
              <w:t xml:space="preserve">33# </w:t>
            </w:r>
            <w:r>
              <w:rPr>
                <w:rFonts w:hint="default" w:ascii="Times New Roman" w:hAnsi="Times New Roman" w:eastAsia="宋体" w:cs="Times New Roman"/>
                <w:sz w:val="21"/>
                <w:szCs w:val="21"/>
              </w:rPr>
              <w:t>晶泽汐越小区临路边界30m外房屋第1层</w:t>
            </w:r>
            <w:bookmarkEnd w:id="55"/>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6" w:name="噪声34"/>
            <w:r>
              <w:rPr>
                <w:rFonts w:hint="default" w:ascii="Times New Roman" w:hAnsi="Times New Roman" w:eastAsia="宋体" w:cs="Times New Roman"/>
                <w:color w:val="auto"/>
                <w:sz w:val="21"/>
                <w:szCs w:val="21"/>
                <w:highlight w:val="none"/>
                <w:lang w:val="en-US" w:eastAsia="zh-CN"/>
              </w:rPr>
              <w:t xml:space="preserve">34# </w:t>
            </w:r>
            <w:r>
              <w:rPr>
                <w:rFonts w:hint="default" w:ascii="Times New Roman" w:hAnsi="Times New Roman" w:cs="Times New Roman"/>
              </w:rPr>
              <w:t>晶泽汐越小区附近道路右侧距路中心线40m</w:t>
            </w:r>
            <w:r>
              <w:rPr>
                <w:rFonts w:hint="default" w:ascii="Times New Roman" w:hAnsi="Times New Roman" w:cs="Times New Roman"/>
                <w:lang w:eastAsia="zh-CN"/>
              </w:rPr>
              <w:t>处</w:t>
            </w:r>
            <w:bookmarkEnd w:id="56"/>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7" w:name="噪声35"/>
            <w:r>
              <w:rPr>
                <w:rFonts w:hint="default" w:ascii="Times New Roman" w:hAnsi="Times New Roman" w:eastAsia="宋体" w:cs="Times New Roman"/>
                <w:color w:val="auto"/>
                <w:sz w:val="21"/>
                <w:szCs w:val="21"/>
                <w:highlight w:val="none"/>
                <w:lang w:val="en-US" w:eastAsia="zh-CN"/>
              </w:rPr>
              <w:t xml:space="preserve">35# </w:t>
            </w:r>
            <w:r>
              <w:rPr>
                <w:rFonts w:hint="default" w:ascii="Times New Roman" w:hAnsi="Times New Roman" w:cs="Times New Roman"/>
              </w:rPr>
              <w:t>晶泽汐越小区附近道路右侧距路中心线60m</w:t>
            </w:r>
            <w:r>
              <w:rPr>
                <w:rFonts w:hint="default" w:ascii="Times New Roman" w:hAnsi="Times New Roman" w:cs="Times New Roman"/>
                <w:lang w:eastAsia="zh-CN"/>
              </w:rPr>
              <w:t>处</w:t>
            </w:r>
            <w:bookmarkEnd w:id="57"/>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8" w:name="噪声36"/>
            <w:r>
              <w:rPr>
                <w:rFonts w:hint="default" w:ascii="Times New Roman" w:hAnsi="Times New Roman" w:eastAsia="宋体" w:cs="Times New Roman"/>
                <w:color w:val="auto"/>
                <w:sz w:val="21"/>
                <w:szCs w:val="21"/>
                <w:highlight w:val="none"/>
                <w:lang w:val="en-US" w:eastAsia="zh-CN"/>
              </w:rPr>
              <w:t xml:space="preserve">36# </w:t>
            </w:r>
            <w:r>
              <w:rPr>
                <w:rFonts w:hint="default" w:ascii="Times New Roman" w:hAnsi="Times New Roman" w:cs="Times New Roman"/>
              </w:rPr>
              <w:t>晶泽汐越小区附近道路右侧距路中心线80m</w:t>
            </w:r>
            <w:r>
              <w:rPr>
                <w:rFonts w:hint="default" w:ascii="Times New Roman" w:hAnsi="Times New Roman" w:cs="Times New Roman"/>
                <w:lang w:eastAsia="zh-CN"/>
              </w:rPr>
              <w:t>处</w:t>
            </w:r>
            <w:bookmarkEnd w:id="58"/>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59" w:name="噪声37"/>
            <w:r>
              <w:rPr>
                <w:rFonts w:hint="default" w:ascii="Times New Roman" w:hAnsi="Times New Roman" w:eastAsia="宋体" w:cs="Times New Roman"/>
                <w:color w:val="auto"/>
                <w:sz w:val="21"/>
                <w:szCs w:val="21"/>
                <w:highlight w:val="none"/>
                <w:lang w:val="en-US" w:eastAsia="zh-CN"/>
              </w:rPr>
              <w:t xml:space="preserve">37# </w:t>
            </w:r>
            <w:r>
              <w:rPr>
                <w:rFonts w:hint="default" w:ascii="Times New Roman" w:hAnsi="Times New Roman" w:cs="Times New Roman"/>
              </w:rPr>
              <w:t>晶泽汐越小区附近道路右侧距路中心线120m</w:t>
            </w:r>
            <w:r>
              <w:rPr>
                <w:rFonts w:hint="default" w:ascii="Times New Roman" w:hAnsi="Times New Roman" w:cs="Times New Roman"/>
                <w:lang w:eastAsia="zh-CN"/>
              </w:rPr>
              <w:t>处</w:t>
            </w:r>
            <w:bookmarkEnd w:id="59"/>
          </w:p>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bookmarkStart w:id="60" w:name="噪声38"/>
            <w:r>
              <w:rPr>
                <w:rFonts w:hint="default" w:ascii="Times New Roman" w:hAnsi="Times New Roman" w:eastAsia="宋体" w:cs="Times New Roman"/>
                <w:color w:val="auto"/>
                <w:sz w:val="21"/>
                <w:szCs w:val="21"/>
                <w:highlight w:val="none"/>
                <w:lang w:val="en-US" w:eastAsia="zh-CN"/>
              </w:rPr>
              <w:t xml:space="preserve">38# </w:t>
            </w:r>
            <w:r>
              <w:rPr>
                <w:rFonts w:hint="default" w:ascii="Times New Roman" w:hAnsi="Times New Roman" w:cs="Times New Roman"/>
              </w:rPr>
              <w:t>晶泽汐越小区附近道路右侧距路中心线200m</w:t>
            </w:r>
            <w:r>
              <w:rPr>
                <w:rFonts w:hint="default" w:ascii="Times New Roman" w:hAnsi="Times New Roman" w:cs="Times New Roman"/>
                <w:lang w:eastAsia="zh-CN"/>
              </w:rPr>
              <w:t>处</w:t>
            </w:r>
            <w:bookmarkEnd w:id="60"/>
          </w:p>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bookmarkStart w:id="61" w:name="噪声40"/>
            <w:r>
              <w:rPr>
                <w:rFonts w:hint="default" w:ascii="Times New Roman" w:hAnsi="Times New Roman" w:eastAsia="宋体" w:cs="Times New Roman"/>
                <w:color w:val="auto"/>
                <w:kern w:val="0"/>
                <w:sz w:val="21"/>
                <w:szCs w:val="21"/>
                <w:highlight w:val="none"/>
                <w:lang w:val="en-US" w:eastAsia="zh-CN" w:bidi="ar"/>
              </w:rPr>
              <w:t xml:space="preserve">40# </w:t>
            </w:r>
            <w:r>
              <w:rPr>
                <w:rFonts w:hint="default" w:ascii="Times New Roman" w:hAnsi="Times New Roman" w:cs="Times New Roman"/>
              </w:rPr>
              <w:t>六房村附近道路右侧距路中心线40m</w:t>
            </w:r>
            <w:r>
              <w:rPr>
                <w:rFonts w:hint="default" w:ascii="Times New Roman" w:hAnsi="Times New Roman" w:cs="Times New Roman"/>
                <w:lang w:eastAsia="zh-CN"/>
              </w:rPr>
              <w:t>处</w:t>
            </w:r>
            <w:bookmarkEnd w:id="61"/>
          </w:p>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bookmarkStart w:id="62" w:name="噪声41"/>
            <w:r>
              <w:rPr>
                <w:rFonts w:hint="default" w:ascii="Times New Roman" w:hAnsi="Times New Roman" w:eastAsia="宋体" w:cs="Times New Roman"/>
                <w:color w:val="auto"/>
                <w:kern w:val="0"/>
                <w:sz w:val="21"/>
                <w:szCs w:val="21"/>
                <w:highlight w:val="none"/>
                <w:lang w:val="en-US" w:eastAsia="zh-CN" w:bidi="ar"/>
              </w:rPr>
              <w:t xml:space="preserve">41# </w:t>
            </w:r>
            <w:r>
              <w:rPr>
                <w:rFonts w:hint="default" w:ascii="Times New Roman" w:hAnsi="Times New Roman" w:cs="Times New Roman"/>
              </w:rPr>
              <w:t>六房村附近道路右侧距路中心线60m</w:t>
            </w:r>
            <w:r>
              <w:rPr>
                <w:rFonts w:hint="default" w:ascii="Times New Roman" w:hAnsi="Times New Roman" w:cs="Times New Roman"/>
                <w:lang w:eastAsia="zh-CN"/>
              </w:rPr>
              <w:t>处</w:t>
            </w:r>
            <w:bookmarkEnd w:id="62"/>
          </w:p>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bookmarkStart w:id="63" w:name="噪声42"/>
            <w:r>
              <w:rPr>
                <w:rFonts w:hint="default" w:ascii="Times New Roman" w:hAnsi="Times New Roman" w:eastAsia="宋体" w:cs="Times New Roman"/>
                <w:color w:val="auto"/>
                <w:kern w:val="0"/>
                <w:sz w:val="21"/>
                <w:szCs w:val="21"/>
                <w:highlight w:val="none"/>
                <w:lang w:val="en-US" w:eastAsia="zh-CN" w:bidi="ar"/>
              </w:rPr>
              <w:t xml:space="preserve">42# </w:t>
            </w:r>
            <w:r>
              <w:rPr>
                <w:rFonts w:hint="default" w:ascii="Times New Roman" w:hAnsi="Times New Roman" w:cs="Times New Roman"/>
              </w:rPr>
              <w:t>六房村附近道路右侧距路中心线80m</w:t>
            </w:r>
            <w:r>
              <w:rPr>
                <w:rFonts w:hint="default" w:ascii="Times New Roman" w:hAnsi="Times New Roman" w:cs="Times New Roman"/>
                <w:lang w:eastAsia="zh-CN"/>
              </w:rPr>
              <w:t>处</w:t>
            </w:r>
            <w:bookmarkEnd w:id="63"/>
          </w:p>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bookmarkStart w:id="64" w:name="噪声43"/>
            <w:r>
              <w:rPr>
                <w:rFonts w:hint="default" w:ascii="Times New Roman" w:hAnsi="Times New Roman" w:eastAsia="宋体" w:cs="Times New Roman"/>
                <w:color w:val="auto"/>
                <w:kern w:val="0"/>
                <w:sz w:val="21"/>
                <w:szCs w:val="21"/>
                <w:highlight w:val="none"/>
                <w:lang w:val="en-US" w:eastAsia="zh-CN" w:bidi="ar"/>
              </w:rPr>
              <w:t xml:space="preserve">43# </w:t>
            </w:r>
            <w:r>
              <w:rPr>
                <w:rFonts w:hint="default" w:ascii="Times New Roman" w:hAnsi="Times New Roman" w:cs="Times New Roman"/>
              </w:rPr>
              <w:t>六房村附近道路右侧距路中心线120m</w:t>
            </w:r>
            <w:r>
              <w:rPr>
                <w:rFonts w:hint="default" w:ascii="Times New Roman" w:hAnsi="Times New Roman" w:cs="Times New Roman"/>
                <w:lang w:eastAsia="zh-CN"/>
              </w:rPr>
              <w:t>处</w:t>
            </w:r>
            <w:bookmarkEnd w:id="64"/>
          </w:p>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bookmarkStart w:id="65" w:name="噪声44"/>
            <w:r>
              <w:rPr>
                <w:rFonts w:hint="default" w:ascii="Times New Roman" w:hAnsi="Times New Roman" w:eastAsia="宋体" w:cs="Times New Roman"/>
                <w:color w:val="auto"/>
                <w:kern w:val="0"/>
                <w:sz w:val="21"/>
                <w:szCs w:val="21"/>
                <w:highlight w:val="none"/>
                <w:lang w:val="en-US" w:eastAsia="zh-CN" w:bidi="ar"/>
              </w:rPr>
              <w:t xml:space="preserve">44# </w:t>
            </w:r>
            <w:r>
              <w:rPr>
                <w:rFonts w:hint="default" w:ascii="Times New Roman" w:hAnsi="Times New Roman" w:cs="Times New Roman"/>
              </w:rPr>
              <w:t>六房村附近道路右侧距路中心线200m</w:t>
            </w:r>
            <w:r>
              <w:rPr>
                <w:rFonts w:hint="default" w:ascii="Times New Roman" w:hAnsi="Times New Roman" w:cs="Times New Roman"/>
                <w:lang w:eastAsia="zh-CN"/>
              </w:rPr>
              <w:t>处</w:t>
            </w:r>
            <w:bookmarkEnd w:id="65"/>
          </w:p>
        </w:tc>
        <w:tc>
          <w:tcPr>
            <w:tcW w:w="94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bidi="ar"/>
              </w:rPr>
              <w:t>45</w:t>
            </w:r>
          </w:p>
        </w:tc>
        <w:tc>
          <w:tcPr>
            <w:tcW w:w="2022"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环境噪声</w:t>
            </w:r>
          </w:p>
        </w:tc>
        <w:tc>
          <w:tcPr>
            <w:tcW w:w="52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bidi="ar"/>
              </w:rPr>
              <w:t>1</w:t>
            </w:r>
          </w:p>
        </w:tc>
        <w:tc>
          <w:tcPr>
            <w:tcW w:w="667" w:type="dxa"/>
            <w:tcBorders>
              <w:tl2br w:val="nil"/>
              <w:tr2bl w:val="nil"/>
            </w:tcBorders>
            <w:noWrap w:val="0"/>
            <w:vAlign w:val="center"/>
          </w:tcPr>
          <w:p>
            <w:pPr>
              <w:spacing w:line="240" w:lineRule="auto"/>
              <w:jc w:val="center"/>
              <w:rPr>
                <w:rFonts w:hint="default" w:ascii="Times New Roman" w:hAnsi="Times New Roman" w:eastAsia="宋体" w:cs="Times New Roman"/>
                <w:bCs/>
                <w:color w:val="auto"/>
                <w:sz w:val="21"/>
                <w:szCs w:val="21"/>
                <w:highlight w:val="none"/>
                <w:lang w:bidi="ar"/>
              </w:rPr>
            </w:pPr>
            <w:r>
              <w:rPr>
                <w:rFonts w:hint="default" w:ascii="Times New Roman" w:hAnsi="Times New Roman" w:eastAsia="宋体" w:cs="Times New Roman"/>
                <w:bCs/>
                <w:color w:val="auto"/>
                <w:sz w:val="21"/>
                <w:szCs w:val="21"/>
                <w:highlight w:val="none"/>
                <w:lang w:bidi="ar"/>
              </w:rPr>
              <w:t>昼夜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bidi="ar"/>
              </w:rPr>
              <w:t>各</w:t>
            </w:r>
            <w:r>
              <w:rPr>
                <w:rFonts w:hint="default" w:ascii="Times New Roman" w:hAnsi="Times New Roman" w:eastAsia="宋体" w:cs="Times New Roman"/>
                <w:bCs/>
                <w:color w:val="auto"/>
                <w:sz w:val="21"/>
                <w:szCs w:val="21"/>
                <w:highlight w:val="none"/>
                <w:lang w:val="en-US" w:eastAsia="zh-CN" w:bidi="ar"/>
              </w:rPr>
              <w:t>1</w:t>
            </w:r>
            <w:r>
              <w:rPr>
                <w:rFonts w:hint="default" w:ascii="Times New Roman" w:hAnsi="Times New Roman" w:eastAsia="宋体" w:cs="Times New Roman"/>
                <w:bCs/>
                <w:color w:val="auto"/>
                <w:sz w:val="21"/>
                <w:szCs w:val="21"/>
                <w:highlight w:val="none"/>
                <w:lang w:bidi="ar"/>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73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486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bookmarkStart w:id="66" w:name="噪声39"/>
            <w:r>
              <w:rPr>
                <w:rFonts w:hint="default" w:ascii="Times New Roman" w:hAnsi="Times New Roman" w:eastAsia="宋体" w:cs="Times New Roman"/>
                <w:color w:val="auto"/>
                <w:kern w:val="0"/>
                <w:sz w:val="21"/>
                <w:szCs w:val="21"/>
                <w:highlight w:val="none"/>
                <w:lang w:val="en-US" w:eastAsia="zh-CN" w:bidi="ar"/>
              </w:rPr>
              <w:t xml:space="preserve">39# </w:t>
            </w:r>
            <w:r>
              <w:rPr>
                <w:rFonts w:hint="default" w:ascii="Times New Roman" w:hAnsi="Times New Roman" w:cs="Times New Roman"/>
              </w:rPr>
              <w:t>晶泽汐越小区附近道路右侧距路中心线40m</w:t>
            </w:r>
            <w:r>
              <w:rPr>
                <w:rFonts w:hint="default" w:ascii="Times New Roman" w:hAnsi="Times New Roman" w:cs="Times New Roman"/>
                <w:lang w:eastAsia="zh-CN"/>
              </w:rPr>
              <w:t>处</w:t>
            </w:r>
            <w:bookmarkEnd w:id="66"/>
          </w:p>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bookmarkStart w:id="67" w:name="噪声45"/>
            <w:r>
              <w:rPr>
                <w:rFonts w:hint="default" w:ascii="Times New Roman" w:hAnsi="Times New Roman" w:eastAsia="宋体" w:cs="Times New Roman"/>
                <w:color w:val="auto"/>
                <w:kern w:val="0"/>
                <w:sz w:val="21"/>
                <w:szCs w:val="21"/>
                <w:highlight w:val="none"/>
                <w:lang w:val="en-US" w:eastAsia="zh-CN" w:bidi="ar"/>
              </w:rPr>
              <w:t xml:space="preserve">45# </w:t>
            </w:r>
            <w:r>
              <w:rPr>
                <w:rFonts w:hint="default" w:ascii="Times New Roman" w:hAnsi="Times New Roman" w:cs="Times New Roman"/>
              </w:rPr>
              <w:t>六房村附近道路右侧距路中心线40m</w:t>
            </w:r>
            <w:r>
              <w:rPr>
                <w:rFonts w:hint="default" w:ascii="Times New Roman" w:hAnsi="Times New Roman" w:cs="Times New Roman"/>
                <w:lang w:eastAsia="zh-CN"/>
              </w:rPr>
              <w:t>处</w:t>
            </w:r>
            <w:bookmarkEnd w:id="67"/>
          </w:p>
        </w:tc>
        <w:tc>
          <w:tcPr>
            <w:tcW w:w="94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
              </w:rPr>
            </w:pPr>
          </w:p>
        </w:tc>
        <w:tc>
          <w:tcPr>
            <w:tcW w:w="2022"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lang w:val="en-US" w:eastAsia="zh-CN" w:bidi="ar-SA"/>
              </w:rPr>
            </w:pPr>
          </w:p>
        </w:tc>
        <w:tc>
          <w:tcPr>
            <w:tcW w:w="5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bidi="ar"/>
              </w:rPr>
            </w:pPr>
          </w:p>
        </w:tc>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bidi="ar"/>
              </w:rPr>
            </w:pPr>
            <w:r>
              <w:rPr>
                <w:rFonts w:hint="default" w:ascii="Times New Roman" w:hAnsi="Times New Roman" w:eastAsia="宋体" w:cs="Times New Roman"/>
                <w:bCs/>
                <w:color w:val="auto"/>
                <w:sz w:val="21"/>
                <w:szCs w:val="21"/>
                <w:highlight w:val="none"/>
                <w:lang w:val="en-US" w:eastAsia="zh-CN"/>
              </w:rPr>
              <w:t>24</w:t>
            </w:r>
          </w:p>
        </w:tc>
      </w:tr>
    </w:tbl>
    <w:p>
      <w:pPr>
        <w:keepNext w:val="0"/>
        <w:keepLines w:val="0"/>
        <w:pageBreakBefore w:val="0"/>
        <w:widowControl w:val="0"/>
        <w:numPr>
          <w:ilvl w:val="0"/>
          <w:numId w:val="6"/>
        </w:numPr>
        <w:kinsoku/>
        <w:wordWrap/>
        <w:overflowPunct/>
        <w:topLinePunct w:val="0"/>
        <w:autoSpaceDE/>
        <w:autoSpaceDN/>
        <w:bidi w:val="0"/>
        <w:adjustRightInd/>
        <w:spacing w:line="360" w:lineRule="auto"/>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监测内容：等效连续A声级；</w:t>
      </w:r>
    </w:p>
    <w:p>
      <w:pPr>
        <w:numPr>
          <w:ilvl w:val="0"/>
          <w:numId w:val="6"/>
        </w:numPr>
        <w:spacing w:line="360" w:lineRule="auto"/>
        <w:ind w:left="0" w:leftChars="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监测点位：窗外1m处。监测建筑物层高三层及以上进行垂向监测，监测点</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13</w:t>
      </w:r>
      <w:r>
        <w:rPr>
          <w:rFonts w:hint="default" w:ascii="Times New Roman" w:hAnsi="Times New Roman" w:cs="Times New Roman"/>
          <w:sz w:val="24"/>
          <w:szCs w:val="24"/>
          <w:lang w:val="en-US" w:eastAsia="zh-CN"/>
        </w:rPr>
        <w:t>#在临路第一排建筑1、3、5、9层及临路第二排建筑共设4个监测点位</w:t>
      </w:r>
      <w:r>
        <w:rPr>
          <w:rFonts w:hint="eastAsia" w:ascii="Times New Roman" w:hAnsi="Times New Roman" w:cs="Times New Roman"/>
          <w:sz w:val="24"/>
          <w:szCs w:val="24"/>
          <w:lang w:val="en-US" w:eastAsia="zh-CN"/>
        </w:rPr>
        <w:t>。</w:t>
      </w:r>
    </w:p>
    <w:p>
      <w:pPr>
        <w:pStyle w:val="16"/>
        <w:numPr>
          <w:ilvl w:val="0"/>
          <w:numId w:val="6"/>
        </w:numPr>
        <w:spacing w:line="360" w:lineRule="auto"/>
        <w:ind w:left="0" w:leftChars="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监测频次：监测两天，每天昼间</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次（6:00~22:00）、夜间</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次（22:00~6:00各监测1次），监测时分别记录大、中、小型车小时车流量。</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（5）验收监测点位图：</w:t>
      </w:r>
    </w:p>
    <w:p>
      <w:pPr>
        <w:pStyle w:val="2"/>
        <w:jc w:val="both"/>
      </w:pPr>
      <w:r>
        <w:drawing>
          <wp:inline distT="0" distB="0" distL="114300" distR="114300">
            <wp:extent cx="5551170" cy="3176270"/>
            <wp:effectExtent l="9525" t="9525" r="2095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551170" cy="31762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3"/>
      </w:pPr>
      <w:r>
        <w:drawing>
          <wp:inline distT="0" distB="0" distL="114300" distR="114300">
            <wp:extent cx="5600065" cy="3111500"/>
            <wp:effectExtent l="9525" t="9525" r="10160" b="222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600065" cy="31115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rPr>
          <w:rFonts w:hint="default"/>
          <w:lang w:val="en-US" w:eastAsia="zh-CN"/>
        </w:rPr>
      </w:pPr>
      <w:r>
        <w:drawing>
          <wp:inline distT="0" distB="0" distL="114300" distR="114300">
            <wp:extent cx="5602605" cy="3104515"/>
            <wp:effectExtent l="9525" t="9525" r="2667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a:stretch>
                      <a:fillRect/>
                    </a:stretch>
                  </pic:blipFill>
                  <pic:spPr>
                    <a:xfrm>
                      <a:off x="0" y="0"/>
                      <a:ext cx="5602605" cy="31045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auto"/>
        <w:jc w:val="left"/>
        <w:textAlignment w:val="baseline"/>
        <w:rPr>
          <w:rFonts w:ascii="Arial"/>
          <w:sz w:val="21"/>
        </w:rPr>
      </w:pPr>
      <w:r>
        <w:rPr>
          <w:rFonts w:hint="eastAsia" w:ascii="宋体" w:hAnsi="宋体" w:eastAsia="宋体" w:cs="宋体"/>
          <w:spacing w:val="-4"/>
          <w:sz w:val="24"/>
          <w:szCs w:val="24"/>
          <w:lang w:eastAsia="zh-CN"/>
        </w:rPr>
        <w:t>（</w:t>
      </w:r>
      <w:r>
        <w:rPr>
          <w:rFonts w:hint="eastAsia" w:ascii="宋体" w:hAnsi="宋体" w:eastAsia="宋体" w:cs="宋体"/>
          <w:spacing w:val="-4"/>
          <w:sz w:val="24"/>
          <w:szCs w:val="24"/>
          <w:lang w:val="en-US" w:eastAsia="zh-CN"/>
        </w:rPr>
        <w:t>6）</w:t>
      </w:r>
      <w:r>
        <w:rPr>
          <w:rFonts w:hint="default" w:ascii="Times New Roman" w:hAnsi="Times New Roman" w:cs="Times New Roman"/>
          <w:b w:val="0"/>
          <w:bCs w:val="0"/>
          <w:color w:val="auto"/>
          <w:sz w:val="24"/>
          <w:szCs w:val="24"/>
          <w:highlight w:val="none"/>
          <w:lang w:val="en-US" w:eastAsia="zh-CN"/>
        </w:rPr>
        <w:t>监</w:t>
      </w:r>
      <w:r>
        <w:rPr>
          <w:rFonts w:hint="default" w:ascii="Times New Roman" w:hAnsi="Times New Roman" w:eastAsia="宋体" w:cs="Times New Roman"/>
          <w:b w:val="0"/>
          <w:bCs w:val="0"/>
          <w:color w:val="auto"/>
          <w:sz w:val="24"/>
          <w:szCs w:val="24"/>
          <w:highlight w:val="none"/>
          <w:lang w:val="en-US" w:eastAsia="zh-CN"/>
        </w:rPr>
        <w:t>测</w:t>
      </w:r>
      <w:r>
        <w:rPr>
          <w:rFonts w:hint="default" w:ascii="Times New Roman" w:hAnsi="Times New Roman" w:eastAsia="宋体" w:cs="Times New Roman"/>
          <w:bCs/>
          <w:color w:val="auto"/>
          <w:sz w:val="24"/>
          <w:szCs w:val="24"/>
          <w:highlight w:val="none"/>
          <w:lang w:eastAsia="zh-CN" w:bidi="ar"/>
        </w:rPr>
        <w:t>方法及仪器信息</w:t>
      </w:r>
      <w:r>
        <w:rPr>
          <w:rFonts w:hint="eastAsia" w:ascii="Times New Roman" w:hAnsi="Times New Roman" w:eastAsia="宋体" w:cs="Times New Roman"/>
          <w:bCs/>
          <w:color w:val="auto"/>
          <w:sz w:val="24"/>
          <w:szCs w:val="24"/>
          <w:highlight w:val="none"/>
          <w:lang w:val="en-US" w:eastAsia="zh-CN" w:bidi="ar"/>
        </w:rPr>
        <w:t>见下表</w:t>
      </w:r>
      <w:r>
        <w:rPr>
          <w:rFonts w:ascii="宋体" w:hAnsi="宋体" w:eastAsia="宋体" w:cs="宋体"/>
          <w:spacing w:val="-4"/>
          <w:sz w:val="24"/>
          <w:szCs w:val="24"/>
        </w:rPr>
        <w:t>。</w:t>
      </w:r>
    </w:p>
    <w:p>
      <w:pPr>
        <w:spacing w:before="78" w:line="221" w:lineRule="auto"/>
        <w:ind w:left="2773"/>
        <w:rPr>
          <w:rFonts w:ascii="黑体" w:hAnsi="黑体" w:eastAsia="黑体" w:cs="黑体"/>
          <w:sz w:val="24"/>
          <w:szCs w:val="24"/>
        </w:rPr>
      </w:pPr>
      <w:r>
        <w:rPr>
          <w:rFonts w:ascii="黑体" w:hAnsi="黑体" w:eastAsia="黑体" w:cs="黑体"/>
          <w:b/>
          <w:bCs/>
          <w:spacing w:val="-5"/>
          <w:sz w:val="24"/>
          <w:szCs w:val="24"/>
        </w:rPr>
        <w:t>表</w:t>
      </w:r>
      <w:r>
        <w:rPr>
          <w:rFonts w:hint="eastAsia" w:ascii="黑体" w:hAnsi="黑体" w:eastAsia="黑体" w:cs="黑体"/>
          <w:b/>
          <w:bCs/>
          <w:spacing w:val="-5"/>
          <w:sz w:val="24"/>
          <w:szCs w:val="24"/>
          <w:lang w:val="en-US" w:eastAsia="zh-CN"/>
        </w:rPr>
        <w:t>5</w:t>
      </w:r>
      <w:r>
        <w:rPr>
          <w:rFonts w:ascii="黑体" w:hAnsi="黑体" w:eastAsia="黑体" w:cs="黑体"/>
          <w:b/>
          <w:bCs/>
          <w:spacing w:val="-5"/>
          <w:sz w:val="24"/>
          <w:szCs w:val="24"/>
        </w:rPr>
        <w:t>.2-</w:t>
      </w:r>
      <w:r>
        <w:rPr>
          <w:rFonts w:hint="eastAsia" w:ascii="黑体" w:hAnsi="黑体" w:eastAsia="黑体" w:cs="黑体"/>
          <w:b/>
          <w:bCs/>
          <w:spacing w:val="-5"/>
          <w:sz w:val="24"/>
          <w:szCs w:val="24"/>
          <w:lang w:val="en-US" w:eastAsia="zh-CN"/>
        </w:rPr>
        <w:t>2</w:t>
      </w:r>
      <w:r>
        <w:rPr>
          <w:rFonts w:ascii="黑体" w:hAnsi="黑体" w:eastAsia="黑体" w:cs="黑体"/>
          <w:spacing w:val="68"/>
          <w:sz w:val="24"/>
          <w:szCs w:val="24"/>
        </w:rPr>
        <w:t xml:space="preserve"> </w:t>
      </w:r>
      <w:r>
        <w:rPr>
          <w:rFonts w:ascii="黑体" w:hAnsi="黑体" w:eastAsia="黑体" w:cs="黑体"/>
          <w:b/>
          <w:bCs/>
          <w:spacing w:val="-5"/>
          <w:sz w:val="24"/>
          <w:szCs w:val="24"/>
        </w:rPr>
        <w:t>噪声监测项目与分析方法</w:t>
      </w:r>
    </w:p>
    <w:p>
      <w:pPr>
        <w:spacing w:line="44" w:lineRule="exact"/>
      </w:pPr>
    </w:p>
    <w:tbl>
      <w:tblPr>
        <w:tblStyle w:val="13"/>
        <w:tblW w:w="91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673"/>
        <w:gridCol w:w="1082"/>
        <w:gridCol w:w="1987"/>
        <w:gridCol w:w="2153"/>
        <w:gridCol w:w="2553"/>
        <w:gridCol w:w="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283" w:hRule="atLeast"/>
          <w:tblHeader/>
          <w:jc w:val="center"/>
        </w:trPr>
        <w:tc>
          <w:tcPr>
            <w:tcW w:w="673" w:type="dxa"/>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类别</w:t>
            </w:r>
          </w:p>
        </w:tc>
        <w:tc>
          <w:tcPr>
            <w:tcW w:w="1082" w:type="dxa"/>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eastAsia="zh-CN" w:bidi="ar"/>
              </w:rPr>
              <w:t>监</w:t>
            </w:r>
            <w:r>
              <w:rPr>
                <w:rFonts w:hint="default" w:ascii="Times New Roman" w:hAnsi="Times New Roman" w:eastAsia="宋体" w:cs="Times New Roman"/>
                <w:b/>
                <w:color w:val="auto"/>
                <w:sz w:val="21"/>
                <w:szCs w:val="21"/>
                <w:highlight w:val="none"/>
                <w:lang w:bidi="ar"/>
              </w:rPr>
              <w:t>测项目</w:t>
            </w:r>
          </w:p>
        </w:tc>
        <w:tc>
          <w:tcPr>
            <w:tcW w:w="1987" w:type="dxa"/>
            <w:noWrap w:val="0"/>
            <w:vAlign w:val="center"/>
          </w:tcPr>
          <w:p>
            <w:pPr>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eastAsia="zh-CN" w:bidi="ar"/>
              </w:rPr>
              <w:t>监</w:t>
            </w:r>
            <w:r>
              <w:rPr>
                <w:rFonts w:hint="default" w:ascii="Times New Roman" w:hAnsi="Times New Roman" w:eastAsia="宋体" w:cs="Times New Roman"/>
                <w:b/>
                <w:color w:val="auto"/>
                <w:sz w:val="21"/>
                <w:szCs w:val="21"/>
                <w:highlight w:val="none"/>
                <w:lang w:bidi="ar"/>
              </w:rPr>
              <w:t>测方法及依据</w:t>
            </w:r>
          </w:p>
        </w:tc>
        <w:tc>
          <w:tcPr>
            <w:tcW w:w="2153"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所用仪器</w:t>
            </w:r>
          </w:p>
        </w:tc>
        <w:tc>
          <w:tcPr>
            <w:tcW w:w="2553"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仪器编号</w:t>
            </w:r>
          </w:p>
        </w:tc>
        <w:tc>
          <w:tcPr>
            <w:tcW w:w="689" w:type="dxa"/>
            <w:noWrap w:val="0"/>
            <w:vAlign w:val="center"/>
          </w:tcPr>
          <w:p>
            <w:pPr>
              <w:adjustRightInd w:val="0"/>
              <w:snapToGrid w:val="0"/>
              <w:spacing w:line="240" w:lineRule="auto"/>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452" w:hRule="atLeast"/>
          <w:jc w:val="center"/>
        </w:trPr>
        <w:tc>
          <w:tcPr>
            <w:tcW w:w="673" w:type="dxa"/>
            <w:vMerge w:val="restart"/>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lang w:bidi="ar"/>
              </w:rPr>
              <w:t>噪声</w:t>
            </w:r>
          </w:p>
        </w:tc>
        <w:tc>
          <w:tcPr>
            <w:tcW w:w="1082" w:type="dxa"/>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环境噪声</w:t>
            </w:r>
          </w:p>
        </w:tc>
        <w:tc>
          <w:tcPr>
            <w:tcW w:w="1987" w:type="dxa"/>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声环境质量标准</w:t>
            </w:r>
          </w:p>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GB 3096-2008</w:t>
            </w:r>
          </w:p>
        </w:tc>
        <w:tc>
          <w:tcPr>
            <w:tcW w:w="21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AWA5688声级计</w:t>
            </w:r>
          </w:p>
        </w:tc>
        <w:tc>
          <w:tcPr>
            <w:tcW w:w="25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XSJS-063-24</w:t>
            </w:r>
            <w:r>
              <w:rPr>
                <w:rFonts w:hint="eastAsia" w:ascii="Times New Roman" w:hAnsi="Times New Roman" w:eastAsia="宋体" w:cs="Times New Roman"/>
                <w:i w:val="0"/>
                <w:iCs w:val="0"/>
                <w:color w:val="000000"/>
                <w:kern w:val="0"/>
                <w:sz w:val="21"/>
                <w:szCs w:val="21"/>
                <w:u w:val="none"/>
                <w:lang w:val="en-US" w:eastAsia="zh-CN" w:bidi="ar"/>
              </w:rPr>
              <w:t xml:space="preserve">  XSJS-063-19  XSJS-063-21  XSJS-063-22</w:t>
            </w:r>
          </w:p>
        </w:tc>
        <w:tc>
          <w:tcPr>
            <w:tcW w:w="689" w:type="dxa"/>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Cs/>
                <w:color w:val="auto"/>
                <w:sz w:val="21"/>
                <w:szCs w:val="21"/>
                <w:highlight w:val="none"/>
                <w:lang w:val="en-US" w:eastAsia="zh-CN" w:bidi="ar"/>
              </w:rPr>
            </w:pPr>
            <w:r>
              <w:rPr>
                <w:rFonts w:hint="default" w:ascii="Times New Roman" w:hAnsi="Times New Roman" w:eastAsia="宋体" w:cs="Times New Roman"/>
                <w:bCs/>
                <w:color w:val="auto"/>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259" w:hRule="atLeast"/>
          <w:jc w:val="center"/>
        </w:trPr>
        <w:tc>
          <w:tcPr>
            <w:tcW w:w="673" w:type="dxa"/>
            <w:vMerge w:val="continue"/>
            <w:noWrap w:val="0"/>
            <w:vAlign w:val="center"/>
          </w:tcPr>
          <w:p>
            <w:pPr>
              <w:spacing w:line="240" w:lineRule="auto"/>
              <w:jc w:val="center"/>
              <w:rPr>
                <w:rFonts w:hint="default" w:ascii="Times New Roman" w:hAnsi="Times New Roman" w:eastAsia="宋体" w:cs="Times New Roman"/>
                <w:bCs/>
                <w:color w:val="auto"/>
                <w:sz w:val="21"/>
                <w:szCs w:val="21"/>
                <w:highlight w:val="none"/>
                <w:lang w:bidi="ar"/>
              </w:rPr>
            </w:pPr>
          </w:p>
        </w:tc>
        <w:tc>
          <w:tcPr>
            <w:tcW w:w="1082" w:type="dxa"/>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87" w:type="dxa"/>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AWA6228+声级计</w:t>
            </w:r>
          </w:p>
        </w:tc>
        <w:tc>
          <w:tcPr>
            <w:tcW w:w="25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XSJS-063-03</w:t>
            </w:r>
          </w:p>
        </w:tc>
        <w:tc>
          <w:tcPr>
            <w:tcW w:w="689" w:type="dxa"/>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Cs/>
                <w:color w:val="auto"/>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304" w:hRule="atLeast"/>
          <w:jc w:val="center"/>
        </w:trPr>
        <w:tc>
          <w:tcPr>
            <w:tcW w:w="673" w:type="dxa"/>
            <w:vMerge w:val="continue"/>
            <w:noWrap w:val="0"/>
            <w:vAlign w:val="center"/>
          </w:tcPr>
          <w:p>
            <w:pPr>
              <w:spacing w:line="240" w:lineRule="auto"/>
              <w:jc w:val="center"/>
              <w:rPr>
                <w:rFonts w:hint="default" w:ascii="Times New Roman" w:hAnsi="Times New Roman" w:eastAsia="宋体" w:cs="Times New Roman"/>
                <w:bCs/>
                <w:color w:val="auto"/>
                <w:sz w:val="21"/>
                <w:szCs w:val="21"/>
                <w:highlight w:val="none"/>
                <w:lang w:bidi="ar"/>
              </w:rPr>
            </w:pPr>
          </w:p>
        </w:tc>
        <w:tc>
          <w:tcPr>
            <w:tcW w:w="1082" w:type="dxa"/>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87" w:type="dxa"/>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AWA6022A声校准器</w:t>
            </w:r>
          </w:p>
        </w:tc>
        <w:tc>
          <w:tcPr>
            <w:tcW w:w="25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XSJS-064-29</w:t>
            </w:r>
          </w:p>
        </w:tc>
        <w:tc>
          <w:tcPr>
            <w:tcW w:w="689" w:type="dxa"/>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Cs/>
                <w:color w:val="auto"/>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368" w:hRule="atLeast"/>
          <w:jc w:val="center"/>
        </w:trPr>
        <w:tc>
          <w:tcPr>
            <w:tcW w:w="673" w:type="dxa"/>
            <w:vMerge w:val="continue"/>
            <w:noWrap w:val="0"/>
            <w:vAlign w:val="center"/>
          </w:tcPr>
          <w:p>
            <w:pPr>
              <w:spacing w:line="240" w:lineRule="auto"/>
              <w:jc w:val="center"/>
              <w:rPr>
                <w:rFonts w:hint="default" w:ascii="Times New Roman" w:hAnsi="Times New Roman" w:eastAsia="宋体" w:cs="Times New Roman"/>
                <w:bCs/>
                <w:color w:val="auto"/>
                <w:sz w:val="21"/>
                <w:szCs w:val="21"/>
                <w:highlight w:val="none"/>
                <w:lang w:bidi="ar"/>
              </w:rPr>
            </w:pPr>
          </w:p>
        </w:tc>
        <w:tc>
          <w:tcPr>
            <w:tcW w:w="1082" w:type="dxa"/>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87" w:type="dxa"/>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AWA6021A声校准器</w:t>
            </w:r>
          </w:p>
        </w:tc>
        <w:tc>
          <w:tcPr>
            <w:tcW w:w="25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XSJS-064-03</w:t>
            </w:r>
          </w:p>
        </w:tc>
        <w:tc>
          <w:tcPr>
            <w:tcW w:w="689" w:type="dxa"/>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bCs/>
                <w:color w:val="auto"/>
                <w:sz w:val="21"/>
                <w:szCs w:val="21"/>
                <w:highlight w:val="none"/>
                <w:lang w:val="en-US" w:eastAsia="zh-CN" w:bidi="ar"/>
              </w:rPr>
            </w:pPr>
          </w:p>
        </w:tc>
      </w:tr>
    </w:tbl>
    <w:p>
      <w:pPr>
        <w:numPr>
          <w:ilvl w:val="0"/>
          <w:numId w:val="0"/>
        </w:numPr>
        <w:spacing w:before="164" w:line="219" w:lineRule="auto"/>
        <w:ind w:leftChars="0"/>
        <w:rPr>
          <w:rFonts w:hint="eastAsia" w:ascii="宋体" w:hAnsi="宋体" w:eastAsia="宋体" w:cs="宋体"/>
          <w:spacing w:val="-8"/>
          <w:sz w:val="24"/>
          <w:szCs w:val="24"/>
          <w:lang w:eastAsia="zh-CN"/>
        </w:rPr>
      </w:pPr>
      <w:r>
        <w:rPr>
          <w:rFonts w:hint="eastAsia" w:ascii="宋体" w:hAnsi="宋体" w:eastAsia="宋体" w:cs="宋体"/>
          <w:spacing w:val="-8"/>
          <w:sz w:val="24"/>
          <w:szCs w:val="24"/>
          <w:lang w:val="en-US" w:eastAsia="zh-CN"/>
        </w:rPr>
        <w:t>（6）监测结果</w:t>
      </w:r>
    </w:p>
    <w:p>
      <w:pPr>
        <w:numPr>
          <w:ilvl w:val="0"/>
          <w:numId w:val="0"/>
        </w:numPr>
        <w:spacing w:before="164" w:line="219" w:lineRule="auto"/>
        <w:ind w:leftChars="0"/>
        <w:rPr>
          <w:rFonts w:hint="eastAsia" w:ascii="宋体" w:hAnsi="宋体" w:eastAsia="宋体" w:cs="宋体"/>
          <w:spacing w:val="-8"/>
          <w:sz w:val="24"/>
          <w:szCs w:val="24"/>
          <w:lang w:eastAsia="zh-CN"/>
        </w:rPr>
      </w:pPr>
      <w:r>
        <w:rPr>
          <w:rFonts w:ascii="宋体" w:hAnsi="宋体" w:eastAsia="宋体" w:cs="宋体"/>
          <w:spacing w:val="-8"/>
          <w:sz w:val="24"/>
          <w:szCs w:val="24"/>
        </w:rPr>
        <w:t>监测结果见表</w:t>
      </w:r>
      <w:r>
        <w:rPr>
          <w:rFonts w:hint="eastAsia" w:ascii="宋体" w:hAnsi="宋体" w:eastAsia="宋体" w:cs="宋体"/>
          <w:spacing w:val="-8"/>
          <w:sz w:val="24"/>
          <w:szCs w:val="24"/>
          <w:lang w:val="en-US" w:eastAsia="zh-CN"/>
        </w:rPr>
        <w:t>5</w:t>
      </w:r>
      <w:r>
        <w:rPr>
          <w:rFonts w:ascii="宋体" w:hAnsi="宋体" w:eastAsia="宋体" w:cs="宋体"/>
          <w:spacing w:val="-8"/>
          <w:sz w:val="24"/>
          <w:szCs w:val="24"/>
        </w:rPr>
        <w:t>.2-</w:t>
      </w:r>
      <w:r>
        <w:rPr>
          <w:rFonts w:hint="eastAsia" w:ascii="宋体" w:hAnsi="宋体" w:eastAsia="宋体" w:cs="宋体"/>
          <w:spacing w:val="-8"/>
          <w:sz w:val="24"/>
          <w:szCs w:val="24"/>
          <w:lang w:val="en-US" w:eastAsia="zh-CN"/>
        </w:rPr>
        <w:t>3</w:t>
      </w:r>
    </w:p>
    <w:p>
      <w:pPr>
        <w:pStyle w:val="7"/>
        <w:numPr>
          <w:ilvl w:val="0"/>
          <w:numId w:val="0"/>
        </w:numPr>
        <w:jc w:val="center"/>
        <w:rPr>
          <w:rFonts w:hint="default" w:ascii="黑体" w:hAnsi="黑体" w:eastAsia="黑体" w:cs="黑体"/>
          <w:b/>
          <w:bCs/>
          <w:snapToGrid w:val="0"/>
          <w:color w:val="000000"/>
          <w:spacing w:val="-5"/>
          <w:kern w:val="0"/>
          <w:sz w:val="24"/>
          <w:szCs w:val="24"/>
          <w:lang w:val="en-US" w:eastAsia="zh-CN"/>
        </w:rPr>
      </w:pPr>
      <w:r>
        <w:rPr>
          <w:rFonts w:hint="eastAsia" w:ascii="黑体" w:hAnsi="黑体" w:eastAsia="黑体" w:cs="黑体"/>
          <w:b/>
          <w:bCs/>
          <w:snapToGrid w:val="0"/>
          <w:color w:val="000000"/>
          <w:spacing w:val="-5"/>
          <w:kern w:val="0"/>
          <w:sz w:val="24"/>
          <w:szCs w:val="24"/>
          <w:lang w:val="en-US" w:eastAsia="zh-CN"/>
        </w:rPr>
        <w:t>表5.2-3  噪声监测结果统计</w:t>
      </w:r>
    </w:p>
    <w:tbl>
      <w:tblPr>
        <w:tblStyle w:val="13"/>
        <w:tblW w:w="9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36"/>
        <w:gridCol w:w="1197"/>
        <w:gridCol w:w="2178"/>
        <w:gridCol w:w="1269"/>
        <w:gridCol w:w="758"/>
        <w:gridCol w:w="758"/>
        <w:gridCol w:w="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6" w:hRule="atLeast"/>
          <w:tblHeader/>
          <w:jc w:val="center"/>
        </w:trPr>
        <w:tc>
          <w:tcPr>
            <w:tcW w:w="2536"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lang w:val="en-US" w:eastAsia="zh-CN" w:bidi="ar"/>
              </w:rPr>
              <w:t xml:space="preserve">  </w:t>
            </w:r>
            <w:r>
              <w:rPr>
                <w:rFonts w:hint="default" w:ascii="Times New Roman" w:hAnsi="Times New Roman" w:eastAsia="宋体" w:cs="Times New Roman"/>
                <w:b/>
                <w:bCs w:val="0"/>
                <w:color w:val="auto"/>
                <w:sz w:val="21"/>
                <w:szCs w:val="21"/>
                <w:highlight w:val="none"/>
                <w:lang w:eastAsia="zh-CN" w:bidi="ar"/>
              </w:rPr>
              <w:t>监测</w:t>
            </w:r>
            <w:r>
              <w:rPr>
                <w:rFonts w:hint="default" w:ascii="Times New Roman" w:hAnsi="Times New Roman" w:eastAsia="宋体" w:cs="Times New Roman"/>
                <w:b/>
                <w:bCs w:val="0"/>
                <w:color w:val="auto"/>
                <w:sz w:val="21"/>
                <w:szCs w:val="21"/>
                <w:highlight w:val="none"/>
                <w:lang w:val="en-US" w:eastAsia="zh-CN"/>
              </w:rPr>
              <w:t>点位</w:t>
            </w:r>
          </w:p>
        </w:tc>
        <w:tc>
          <w:tcPr>
            <w:tcW w:w="1197"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bidi="ar"/>
              </w:rPr>
              <w:t>监测</w:t>
            </w:r>
            <w:r>
              <w:rPr>
                <w:rFonts w:hint="default" w:ascii="Times New Roman" w:hAnsi="Times New Roman" w:eastAsia="宋体" w:cs="Times New Roman"/>
                <w:b/>
                <w:bCs w:val="0"/>
                <w:color w:val="auto"/>
                <w:sz w:val="21"/>
                <w:szCs w:val="21"/>
                <w:highlight w:val="none"/>
              </w:rPr>
              <w:t>日期</w:t>
            </w:r>
          </w:p>
        </w:tc>
        <w:tc>
          <w:tcPr>
            <w:tcW w:w="2178"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eastAsia="zh-CN" w:bidi="ar"/>
              </w:rPr>
              <w:t>监测</w:t>
            </w:r>
            <w:r>
              <w:rPr>
                <w:rFonts w:hint="default" w:ascii="Times New Roman" w:hAnsi="Times New Roman" w:eastAsia="宋体" w:cs="Times New Roman"/>
                <w:b/>
                <w:bCs w:val="0"/>
                <w:color w:val="auto"/>
                <w:sz w:val="21"/>
                <w:szCs w:val="21"/>
                <w:highlight w:val="none"/>
              </w:rPr>
              <w:t>时间</w:t>
            </w:r>
          </w:p>
        </w:tc>
        <w:tc>
          <w:tcPr>
            <w:tcW w:w="1269"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bidi="ar"/>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rPr>
              <w:t>测结果dB(A)</w:t>
            </w:r>
          </w:p>
        </w:tc>
        <w:tc>
          <w:tcPr>
            <w:tcW w:w="2278" w:type="dxa"/>
            <w:gridSpan w:val="3"/>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eastAsia="zh-CN"/>
              </w:rPr>
              <w:t>车流量（辆</w:t>
            </w:r>
            <w:r>
              <w:rPr>
                <w:rFonts w:hint="default" w:ascii="Times New Roman" w:hAnsi="Times New Roman" w:eastAsia="宋体" w:cs="Times New Roman"/>
                <w:b/>
                <w:bCs w:val="0"/>
                <w:color w:val="auto"/>
                <w:sz w:val="21"/>
                <w:szCs w:val="21"/>
                <w:highlight w:val="none"/>
                <w:lang w:val="en-US" w:eastAsia="zh-CN"/>
              </w:rPr>
              <w:t>/20min</w:t>
            </w:r>
            <w:r>
              <w:rPr>
                <w:rFonts w:hint="default" w:ascii="Times New Roman" w:hAnsi="Times New Roman" w:eastAsia="宋体" w:cs="Times New Roman"/>
                <w:b/>
                <w:bCs w:val="0"/>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tblHeader/>
          <w:jc w:val="center"/>
        </w:trPr>
        <w:tc>
          <w:tcPr>
            <w:tcW w:w="2536"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bidi="ar"/>
              </w:rPr>
            </w:pPr>
          </w:p>
        </w:tc>
        <w:tc>
          <w:tcPr>
            <w:tcW w:w="1197"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bidi="ar"/>
              </w:rPr>
            </w:pPr>
          </w:p>
        </w:tc>
        <w:tc>
          <w:tcPr>
            <w:tcW w:w="2178"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bidi="ar"/>
              </w:rPr>
            </w:pPr>
          </w:p>
        </w:tc>
        <w:tc>
          <w:tcPr>
            <w:tcW w:w="1269"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kern w:val="0"/>
                <w:sz w:val="21"/>
                <w:szCs w:val="21"/>
                <w:highlight w:val="none"/>
                <w:lang w:val="en-US" w:eastAsia="zh-CN" w:bidi="ar-SA"/>
              </w:rPr>
            </w:pPr>
          </w:p>
        </w:tc>
        <w:tc>
          <w:tcPr>
            <w:tcW w:w="758"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小</w:t>
            </w:r>
            <w:r>
              <w:rPr>
                <w:rFonts w:hint="default" w:ascii="Times New Roman" w:hAnsi="Times New Roman" w:eastAsia="宋体" w:cs="Times New Roman"/>
                <w:b/>
                <w:bCs w:val="0"/>
                <w:color w:val="auto"/>
                <w:sz w:val="21"/>
                <w:szCs w:val="21"/>
                <w:highlight w:val="none"/>
              </w:rPr>
              <w:t>型车</w:t>
            </w:r>
          </w:p>
        </w:tc>
        <w:tc>
          <w:tcPr>
            <w:tcW w:w="758"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中型车</w:t>
            </w:r>
          </w:p>
        </w:tc>
        <w:tc>
          <w:tcPr>
            <w:tcW w:w="762"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大</w:t>
            </w:r>
            <w:r>
              <w:rPr>
                <w:rFonts w:hint="default" w:ascii="Times New Roman" w:hAnsi="Times New Roman" w:eastAsia="宋体" w:cs="Times New Roman"/>
                <w:b/>
                <w:bCs w:val="0"/>
                <w:color w:val="auto"/>
                <w:sz w:val="21"/>
                <w:szCs w:val="21"/>
                <w:highlight w:val="none"/>
              </w:rPr>
              <w:t>型车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 凤鸣村7组农户</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kern w:val="2"/>
                <w:sz w:val="21"/>
                <w:szCs w:val="21"/>
                <w:highlight w:val="none"/>
                <w:lang w:val="en-US" w:eastAsia="zh-CN" w:bidi="ar-SA"/>
              </w:rPr>
              <w:fldChar w:fldCharType="begin"/>
            </w:r>
            <w:r>
              <w:rPr>
                <w:rFonts w:hint="default" w:ascii="Times New Roman" w:hAnsi="Times New Roman" w:eastAsia="宋体" w:cs="Times New Roman"/>
                <w:b w:val="0"/>
                <w:bCs/>
                <w:color w:val="auto"/>
                <w:kern w:val="2"/>
                <w:sz w:val="21"/>
                <w:szCs w:val="21"/>
                <w:highlight w:val="none"/>
                <w:lang w:val="en-US" w:eastAsia="zh-CN" w:bidi="ar-SA"/>
              </w:rPr>
              <w:instrText xml:space="preserve"> REF </w:instrText>
            </w:r>
            <w:r>
              <w:rPr>
                <w:rFonts w:hint="eastAsia" w:ascii="Times New Roman" w:hAnsi="Times New Roman" w:eastAsia="宋体" w:cs="Times New Roman"/>
                <w:b w:val="0"/>
                <w:bCs/>
                <w:color w:val="auto"/>
                <w:kern w:val="2"/>
                <w:sz w:val="21"/>
                <w:szCs w:val="21"/>
                <w:highlight w:val="none"/>
                <w:lang w:val="en-US" w:eastAsia="zh-CN" w:bidi="ar-SA"/>
              </w:rPr>
              <w:instrText xml:space="preserve">日期</w:instrText>
            </w:r>
            <w:r>
              <w:rPr>
                <w:rFonts w:hint="default" w:ascii="Times New Roman" w:hAnsi="Times New Roman" w:eastAsia="宋体" w:cs="Times New Roman"/>
                <w:b w:val="0"/>
                <w:bCs/>
                <w:color w:val="auto"/>
                <w:kern w:val="2"/>
                <w:sz w:val="21"/>
                <w:szCs w:val="21"/>
                <w:highlight w:val="none"/>
                <w:lang w:val="en-US" w:eastAsia="zh-CN" w:bidi="ar-SA"/>
              </w:rPr>
              <w:instrText xml:space="preserve"> \h \* MERGEFORMAT</w:instrText>
            </w:r>
            <w:r>
              <w:rPr>
                <w:rFonts w:hint="default" w:ascii="Times New Roman" w:hAnsi="Times New Roman" w:eastAsia="宋体" w:cs="Times New Roman"/>
                <w:b w:val="0"/>
                <w:bCs/>
                <w:color w:val="auto"/>
                <w:kern w:val="2"/>
                <w:sz w:val="21"/>
                <w:szCs w:val="21"/>
                <w:highlight w:val="none"/>
                <w:lang w:val="en-US" w:eastAsia="zh-CN" w:bidi="ar-SA"/>
              </w:rPr>
              <w:fldChar w:fldCharType="separate"/>
            </w:r>
            <w:r>
              <w:rPr>
                <w:rFonts w:hint="default" w:ascii="Times New Roman" w:hAnsi="Times New Roman" w:eastAsia="宋体" w:cs="Times New Roman"/>
                <w:b w:val="0"/>
                <w:bCs/>
                <w:color w:val="auto"/>
                <w:kern w:val="2"/>
                <w:sz w:val="21"/>
                <w:szCs w:val="21"/>
                <w:highlight w:val="none"/>
                <w:lang w:val="en-US" w:eastAsia="zh-CN" w:bidi="ar-SA"/>
              </w:rPr>
              <w:t>10月23日</w:t>
            </w:r>
            <w:r>
              <w:rPr>
                <w:rFonts w:hint="default" w:ascii="Times New Roman" w:hAnsi="Times New Roman" w:eastAsia="宋体" w:cs="Times New Roman"/>
                <w:b w:val="0"/>
                <w:bCs/>
                <w:color w:val="auto"/>
                <w:kern w:val="2"/>
                <w:sz w:val="21"/>
                <w:szCs w:val="21"/>
                <w:highlight w:val="none"/>
                <w:lang w:val="en-US" w:eastAsia="zh-CN" w:bidi="ar-SA"/>
              </w:rPr>
              <w:fldChar w:fldCharType="end"/>
            </w: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16:32-16:52（昼）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22:01-22:21（夜）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 回龙湾2组农户</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16:00-16:20（昼）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22:29-22:49（夜）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 六房村2组农户</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15:18-15:38（昼）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22:58-23:18（夜）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 重滩村农户</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kern w:val="2"/>
                <w:sz w:val="21"/>
                <w:szCs w:val="21"/>
                <w:highlight w:val="none"/>
                <w:lang w:val="en-US" w:eastAsia="zh-CN" w:bidi="ar-SA"/>
              </w:rPr>
              <w:fldChar w:fldCharType="begin"/>
            </w:r>
            <w:r>
              <w:rPr>
                <w:rFonts w:hint="default" w:ascii="Times New Roman" w:hAnsi="Times New Roman" w:eastAsia="宋体" w:cs="Times New Roman"/>
                <w:b w:val="0"/>
                <w:bCs/>
                <w:color w:val="auto"/>
                <w:kern w:val="2"/>
                <w:sz w:val="21"/>
                <w:szCs w:val="21"/>
                <w:highlight w:val="none"/>
                <w:lang w:val="en-US" w:eastAsia="zh-CN" w:bidi="ar-SA"/>
              </w:rPr>
              <w:instrText xml:space="preserve"> REF </w:instrText>
            </w:r>
            <w:r>
              <w:rPr>
                <w:rFonts w:hint="eastAsia" w:ascii="Times New Roman" w:hAnsi="Times New Roman" w:eastAsia="宋体" w:cs="Times New Roman"/>
                <w:b w:val="0"/>
                <w:bCs/>
                <w:color w:val="auto"/>
                <w:kern w:val="2"/>
                <w:sz w:val="21"/>
                <w:szCs w:val="21"/>
                <w:highlight w:val="none"/>
                <w:lang w:val="en-US" w:eastAsia="zh-CN" w:bidi="ar-SA"/>
              </w:rPr>
              <w:instrText xml:space="preserve">日期</w:instrText>
            </w:r>
            <w:r>
              <w:rPr>
                <w:rFonts w:hint="default" w:ascii="Times New Roman" w:hAnsi="Times New Roman" w:eastAsia="宋体" w:cs="Times New Roman"/>
                <w:b w:val="0"/>
                <w:bCs/>
                <w:color w:val="auto"/>
                <w:kern w:val="2"/>
                <w:sz w:val="21"/>
                <w:szCs w:val="21"/>
                <w:highlight w:val="none"/>
                <w:lang w:val="en-US" w:eastAsia="zh-CN" w:bidi="ar-SA"/>
              </w:rPr>
              <w:instrText xml:space="preserve"> \h \* MERGEFORMAT</w:instrText>
            </w:r>
            <w:r>
              <w:rPr>
                <w:rFonts w:hint="default" w:ascii="Times New Roman" w:hAnsi="Times New Roman" w:eastAsia="宋体" w:cs="Times New Roman"/>
                <w:b w:val="0"/>
                <w:bCs/>
                <w:color w:val="auto"/>
                <w:kern w:val="2"/>
                <w:sz w:val="21"/>
                <w:szCs w:val="21"/>
                <w:highlight w:val="none"/>
                <w:lang w:val="en-US" w:eastAsia="zh-CN" w:bidi="ar-SA"/>
              </w:rPr>
              <w:fldChar w:fldCharType="separate"/>
            </w:r>
            <w:r>
              <w:rPr>
                <w:rFonts w:hint="default" w:ascii="Times New Roman" w:hAnsi="Times New Roman" w:eastAsia="宋体" w:cs="Times New Roman"/>
                <w:b w:val="0"/>
                <w:bCs/>
                <w:color w:val="auto"/>
                <w:kern w:val="2"/>
                <w:sz w:val="21"/>
                <w:szCs w:val="21"/>
                <w:highlight w:val="none"/>
                <w:lang w:val="en-US" w:eastAsia="zh-CN" w:bidi="ar-SA"/>
              </w:rPr>
              <w:t>10月23日</w:t>
            </w:r>
            <w:r>
              <w:rPr>
                <w:rFonts w:hint="default" w:ascii="Times New Roman" w:hAnsi="Times New Roman" w:eastAsia="宋体" w:cs="Times New Roman"/>
                <w:b w:val="0"/>
                <w:bCs/>
                <w:color w:val="auto"/>
                <w:kern w:val="2"/>
                <w:sz w:val="21"/>
                <w:szCs w:val="21"/>
                <w:highlight w:val="none"/>
                <w:lang w:val="en-US" w:eastAsia="zh-CN" w:bidi="ar-SA"/>
              </w:rPr>
              <w:fldChar w:fldCharType="end"/>
            </w: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14:40-15:00（昼）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462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23:29-23:49（夜）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5</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5# 西南医科大学附属医院</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13:51-14:11（昼）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731</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23:57-次日00:17（夜）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61</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6</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6# 金鱼村村民</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13:19-13:39（昼）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767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次日00:30-00:50（夜）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7</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7# 自贡成都外国语学校</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12:43-13:03（昼）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821</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次日00:59-01:19（夜）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8</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8# 华景苑小区临路第一排1F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lang w:val="en-US" w:eastAsia="zh-CN" w:bidi="ar-SA"/>
              </w:rPr>
              <w:t>10月24日</w:t>
            </w: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11:21-11:41（昼）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22:04-22:24（夜）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9</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9# 华景苑小区临路第一排3F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11:46-12:06（昼）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22:29-22:49（夜）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10</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10# 华景苑小区临路第一排5F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12:14-12:34（昼）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22:53-23:13（夜）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11</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11# 华景苑小区临路边界30m外房屋第1层</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12:38-12:58（昼）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23:25-23:45（夜）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12</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12# 瑞和盛景小区临路第一排1F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13:41-14:01（昼）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23:53-次日00:13（夜）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13</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13# 瑞和盛景小区临路第一排3F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14:06-14:26（昼）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次日00:18-00:38（夜）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14</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14# 瑞和盛景小区临路第一排5F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14:30-14:50（昼）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651</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次日00:42-01:02（夜）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15</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15# 瑞和盛景小区临路第一排9F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14:59-15:19（昼）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次日01:11-01:31（夜）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16</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16# 瑞和盛景小区临路边界30m外房屋第1层</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15:25-15:45（昼）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次日01:36-01:56（夜）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17</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17# 泰丰国际小区临路第一排1F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lang w:val="en-US" w:eastAsia="zh-CN" w:bidi="ar-SA"/>
              </w:rPr>
              <w:t>10月25日</w:t>
            </w: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12:33-12:53（昼）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649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22:01-22:21（夜）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18</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18# 泰丰国际小区临路第一排3F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lang w:val="en-US" w:eastAsia="zh-CN" w:bidi="ar-SA"/>
              </w:rPr>
              <w:t>10月25日</w:t>
            </w: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13:03-13:23（昼）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22:28-22:48（夜）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19</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19# 泰丰国际小区临路第一排5F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13:28-13:48（昼）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22:54-23:14（夜）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20</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20# 泰丰国际小区临路第一排9F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14:06-14:26（昼）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683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23:17-23:37（夜）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21</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21# 泰丰国际小区临路边界30m外房屋第1层</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14:42-15:02（昼）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23:40-次日00:00（夜）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22</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22# 紫荆城邦小区临路第一排1F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15:21-15:41（昼）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635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次日00:12-00:32（夜）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23</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23# 紫荆城邦小区临路第一排3F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15:44-16:04（昼）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次日00:35-00:55（夜）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24</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24# 紫荆城邦小区临路第一排5F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16:12-16:32（昼）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次日00:59-01:19（夜）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25</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25# 紫荆城邦小区临路第一排9F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16:48-17:08（昼）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648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次日01:22-01:42（夜）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26</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26# 紫荆城邦小区临路边界30m外房屋第1层</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17:11-17:31（昼）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次日01:47-02:07（夜）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27</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27# 绿地小区临路第一排1F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lang w:val="en-US" w:eastAsia="zh-CN" w:bidi="ar-SA"/>
              </w:rPr>
              <w:t>10月27日</w:t>
            </w: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13:32-13:52（昼）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22:00-22:20（夜）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28</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28# 绿地小区临路第一排3F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13:59-14:19（昼）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22:26-22:46（夜）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29</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29# 绿地小区临路第一排5F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14:26-14:46（昼）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22:51-23:11（夜）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30</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30# 绿地小区临路第一排9F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14:50-15:10（昼）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23:15-23:35（夜）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31</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31# 绿地小区临路边界30m外房屋第1层</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15:17-15:37（昼）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23:39-23:59（夜）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32</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32# 晶泽汐越小区临路第一排1F</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lang w:val="en-US" w:eastAsia="zh-CN" w:bidi="ar-SA"/>
              </w:rPr>
              <w:t>10月27日</w:t>
            </w: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15:58-16:18（昼）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次日00:20-00:40（夜）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33</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33# 晶泽汐越小区临路边界30m外房屋第1层</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16:24-16:44（昼）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716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次日00:46-01:06（夜）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34</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34# 晶泽汐越小区附近道路右侧距路中心线40m处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color w:val="auto"/>
                <w:kern w:val="2"/>
                <w:sz w:val="21"/>
                <w:szCs w:val="21"/>
                <w:highlight w:val="none"/>
                <w:lang w:val="en-US" w:eastAsia="zh-CN" w:bidi="ar-SA"/>
              </w:rPr>
              <w:t>11月1日</w:t>
            </w: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14:18-14:38（昼）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22:01-22:21（夜）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35</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35# 晶泽汐越小区附近道路右侧距路中心线60m处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14:18-14:38（昼）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22:01-22:21（夜）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36</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36# 晶泽汐越小区附近道路右侧距路中心线80m处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14:18-14:38（昼）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22:01-22:21（夜）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37</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37# 晶泽汐越小区附近道路右侧距路中心线120m处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14:18-14:38（昼）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22:01-22:21（夜）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38</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38# 晶泽汐越小区附近道路右侧距路中心线200m处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14:18-14:38（昼）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22:01-22:21（夜）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40</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40# 六房村附近道路右侧距路中心线40m处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15:28-15:48（昼）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23:02-23:22（夜）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41</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41# 六房村附近道路右侧距路中心线60m处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15:28-15:48（昼）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23:02-23:22（夜）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42</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42# 六房村附近道路右侧距路中心线80m处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15:28-15:48（昼）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23:02-23:22（夜）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43</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43# 六房村附近道路右侧距路中心线120m处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15:28-15:48（昼）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23:02-23:22（夜）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253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44</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44# 六房村附近道路右侧距路中心线200m处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15:28-15:48（昼）</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469</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253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97"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7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23:02-23:22（夜）</w:t>
            </w:r>
          </w:p>
        </w:tc>
        <w:tc>
          <w:tcPr>
            <w:tcW w:w="1269"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758"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6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outlineLvl w:val="6"/>
        <w:rPr>
          <w:rFonts w:hint="eastAsia" w:ascii="宋体" w:hAnsi="宋体" w:eastAsia="宋体" w:cs="宋体"/>
          <w:spacing w:val="-5"/>
          <w:sz w:val="24"/>
          <w:szCs w:val="24"/>
          <w:lang w:eastAsia="zh-CN"/>
        </w:rPr>
      </w:pPr>
      <w:r>
        <w:rPr>
          <w:rFonts w:ascii="宋体" w:hAnsi="宋体" w:eastAsia="宋体" w:cs="宋体"/>
          <w:spacing w:val="-5"/>
          <w:sz w:val="24"/>
          <w:szCs w:val="24"/>
        </w:rPr>
        <w:t>根据调查及现状监测结果，各个声环境敏感点昼间、夜间噪声均达标</w:t>
      </w:r>
      <w:r>
        <w:rPr>
          <w:rFonts w:hint="eastAsia" w:ascii="宋体" w:hAnsi="宋体" w:eastAsia="宋体" w:cs="宋体"/>
          <w:spacing w:val="-5"/>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outlineLvl w:val="6"/>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5.2.2.2交通噪声衰减调查与分析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pacing w:val="-5"/>
          <w:sz w:val="24"/>
          <w:szCs w:val="24"/>
        </w:rPr>
      </w:pPr>
      <w:r>
        <w:rPr>
          <w:rFonts w:hint="eastAsia" w:ascii="宋体" w:hAnsi="宋体" w:eastAsia="宋体" w:cs="宋体"/>
          <w:spacing w:val="-5"/>
          <w:sz w:val="24"/>
          <w:szCs w:val="24"/>
          <w:lang w:val="en-US" w:eastAsia="zh-CN"/>
        </w:rPr>
        <w:t>（1）</w:t>
      </w:r>
      <w:r>
        <w:rPr>
          <w:rFonts w:ascii="宋体" w:hAnsi="宋体" w:eastAsia="宋体" w:cs="宋体"/>
          <w:spacing w:val="-5"/>
          <w:sz w:val="24"/>
          <w:szCs w:val="24"/>
        </w:rPr>
        <w:t>横向断面交通噪声衰减调查与分析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spacing w:val="-5"/>
          <w:sz w:val="24"/>
          <w:szCs w:val="24"/>
          <w:lang w:eastAsia="zh-CN"/>
        </w:rPr>
      </w:pPr>
      <w:r>
        <w:rPr>
          <w:rFonts w:ascii="宋体" w:hAnsi="宋体" w:eastAsia="宋体" w:cs="宋体"/>
          <w:spacing w:val="-5"/>
          <w:sz w:val="24"/>
          <w:szCs w:val="24"/>
        </w:rPr>
        <w:t>本次竣工验收调查在项目道路一侧横向开阔面布设了2个监测点，以了解项目交通噪声在横向断面上的衰减规律</w:t>
      </w:r>
      <w:r>
        <w:rPr>
          <w:rFonts w:hint="eastAsia" w:ascii="宋体" w:hAnsi="宋体" w:eastAsia="宋体" w:cs="宋体"/>
          <w:spacing w:val="-5"/>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ascii="宋体" w:hAnsi="宋体" w:eastAsia="宋体" w:cs="宋体"/>
          <w:spacing w:val="-5"/>
          <w:sz w:val="24"/>
          <w:szCs w:val="24"/>
        </w:rPr>
      </w:pPr>
      <w:r>
        <w:rPr>
          <w:rFonts w:ascii="宋体" w:hAnsi="宋体" w:eastAsia="宋体" w:cs="宋体"/>
          <w:spacing w:val="-5"/>
          <w:sz w:val="24"/>
          <w:szCs w:val="24"/>
        </w:rPr>
        <w:t>(</w:t>
      </w:r>
      <w:r>
        <w:rPr>
          <w:rFonts w:hint="eastAsia" w:ascii="宋体" w:hAnsi="宋体" w:eastAsia="宋体" w:cs="宋体"/>
          <w:spacing w:val="-5"/>
          <w:sz w:val="24"/>
          <w:szCs w:val="24"/>
          <w:lang w:val="en-US" w:eastAsia="zh-CN"/>
        </w:rPr>
        <w:t>2</w:t>
      </w:r>
      <w:r>
        <w:rPr>
          <w:rFonts w:ascii="宋体" w:hAnsi="宋体" w:eastAsia="宋体" w:cs="宋体"/>
          <w:spacing w:val="-5"/>
          <w:sz w:val="24"/>
          <w:szCs w:val="24"/>
        </w:rPr>
        <w:t>)监测点位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spacing w:val="-5"/>
          <w:sz w:val="24"/>
          <w:szCs w:val="24"/>
          <w:lang w:val="en-US" w:eastAsia="zh-CN"/>
        </w:rPr>
      </w:pPr>
      <w:r>
        <w:rPr>
          <w:rFonts w:ascii="宋体" w:hAnsi="宋体" w:eastAsia="宋体" w:cs="宋体"/>
          <w:spacing w:val="-5"/>
          <w:sz w:val="24"/>
          <w:szCs w:val="24"/>
        </w:rPr>
        <w:t>鉴于道路两侧建筑物分布及地形现状，选取</w:t>
      </w:r>
      <w:r>
        <w:rPr>
          <w:rFonts w:hint="default" w:ascii="宋体" w:hAnsi="宋体" w:eastAsia="宋体" w:cs="宋体"/>
          <w:spacing w:val="-5"/>
          <w:sz w:val="24"/>
          <w:szCs w:val="24"/>
          <w:lang w:val="en-US" w:eastAsia="zh-CN"/>
        </w:rPr>
        <w:t>晶泽汐越小区</w:t>
      </w:r>
      <w:r>
        <w:rPr>
          <w:rFonts w:hint="eastAsia" w:ascii="宋体" w:hAnsi="宋体" w:eastAsia="宋体" w:cs="宋体"/>
          <w:spacing w:val="-5"/>
          <w:sz w:val="24"/>
          <w:szCs w:val="24"/>
          <w:lang w:val="en-US" w:eastAsia="zh-CN"/>
        </w:rPr>
        <w:t>、六房村附近</w:t>
      </w:r>
      <w:r>
        <w:rPr>
          <w:rFonts w:ascii="宋体" w:hAnsi="宋体" w:eastAsia="宋体" w:cs="宋体"/>
          <w:spacing w:val="-5"/>
          <w:sz w:val="24"/>
          <w:szCs w:val="24"/>
        </w:rPr>
        <w:t>作为项目横向衰减断面布点区，项目交通噪声横向衰减断面布点见</w:t>
      </w:r>
      <w:r>
        <w:rPr>
          <w:rFonts w:hint="eastAsia" w:ascii="宋体" w:hAnsi="宋体" w:eastAsia="宋体" w:cs="宋体"/>
          <w:spacing w:val="-5"/>
          <w:sz w:val="24"/>
          <w:szCs w:val="24"/>
          <w:lang w:val="en-US" w:eastAsia="zh-CN"/>
        </w:rPr>
        <w:t>表5.2-4</w:t>
      </w:r>
    </w:p>
    <w:p>
      <w:pPr>
        <w:pStyle w:val="16"/>
        <w:jc w:val="center"/>
        <w:rPr>
          <w:rFonts w:hint="default"/>
          <w:lang w:val="en-US" w:eastAsia="zh-CN"/>
        </w:rPr>
      </w:pPr>
      <w:r>
        <w:rPr>
          <w:rFonts w:hint="eastAsia" w:ascii="宋体" w:hAnsi="宋体" w:eastAsia="宋体" w:cs="宋体"/>
          <w:spacing w:val="-5"/>
          <w:sz w:val="24"/>
          <w:szCs w:val="24"/>
          <w:lang w:val="en-US" w:eastAsia="zh-CN"/>
        </w:rPr>
        <w:t>表5.2-4  衰减断面监测、24小时连续监测布点</w:t>
      </w:r>
    </w:p>
    <w:tbl>
      <w:tblPr>
        <w:tblStyle w:val="1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075"/>
        <w:gridCol w:w="2775"/>
        <w:gridCol w:w="2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4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编号</w:t>
            </w:r>
          </w:p>
        </w:tc>
        <w:tc>
          <w:tcPr>
            <w:tcW w:w="20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地理坐标</w:t>
            </w: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测点位置</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42"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2075"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lang w:val="en-US" w:eastAsia="zh-CN"/>
              </w:rPr>
            </w:pPr>
            <w:r>
              <w:rPr>
                <w:rFonts w:hint="default" w:ascii="Times New Roman" w:hAnsi="Times New Roman" w:cs="Times New Roman"/>
                <w:lang w:val="en-US" w:eastAsia="zh-CN"/>
              </w:rPr>
              <w:t>六房村附近</w:t>
            </w:r>
          </w:p>
          <w:p>
            <w:pPr>
              <w:keepNext w:val="0"/>
              <w:keepLines w:val="0"/>
              <w:pageBreakBefore w:val="0"/>
              <w:widowControl w:val="0"/>
              <w:kinsoku/>
              <w:wordWrap/>
              <w:overflowPunct/>
              <w:topLinePunct w:val="0"/>
              <w:bidi w:val="0"/>
              <w:snapToGrid/>
              <w:jc w:val="center"/>
              <w:rPr>
                <w:rFonts w:hint="default" w:ascii="Times New Roman" w:hAnsi="Times New Roman" w:cs="Times New Roman"/>
                <w:lang w:val="en-US" w:eastAsia="zh-CN"/>
              </w:rPr>
            </w:pPr>
            <w:r>
              <w:rPr>
                <w:rFonts w:hint="default" w:ascii="Times New Roman" w:hAnsi="Times New Roman" w:cs="Times New Roman"/>
                <w:lang w:val="en-US" w:eastAsia="zh-CN"/>
              </w:rPr>
              <w:t>E104°39′58.748″</w:t>
            </w:r>
          </w:p>
          <w:p>
            <w:pPr>
              <w:pStyle w:val="16"/>
              <w:keepNext w:val="0"/>
              <w:keepLines w:val="0"/>
              <w:pageBreakBefore w:val="0"/>
              <w:widowControl w:val="0"/>
              <w:kinsoku/>
              <w:wordWrap/>
              <w:overflowPunct/>
              <w:topLinePunct w:val="0"/>
              <w:bidi w:val="0"/>
              <w:snapToGrid/>
              <w:spacing w:before="0" w:after="0"/>
              <w:jc w:val="center"/>
              <w:rPr>
                <w:rFonts w:hint="default" w:ascii="Times New Roman" w:hAnsi="Times New Roman" w:cs="Times New Roman"/>
                <w:lang w:val="en-US" w:eastAsia="zh-CN"/>
              </w:rPr>
            </w:pPr>
            <w:r>
              <w:rPr>
                <w:rFonts w:hint="default" w:ascii="Times New Roman" w:hAnsi="Times New Roman" w:cs="Times New Roman"/>
                <w:lang w:val="en-US" w:eastAsia="zh-CN"/>
              </w:rPr>
              <w:t>N29°21′30.502″</w:t>
            </w: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cs="Times New Roman"/>
                <w:vertAlign w:val="baseline"/>
                <w:lang w:val="en-US" w:eastAsia="zh-CN"/>
              </w:rPr>
              <w:t>道路右侧距路中心线40m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40m处为24小时连续监测点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42"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rPr>
            </w:pPr>
          </w:p>
        </w:tc>
        <w:tc>
          <w:tcPr>
            <w:tcW w:w="20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cs="Times New Roman"/>
                <w:vertAlign w:val="baseline"/>
                <w:lang w:val="en-US" w:eastAsia="zh-CN"/>
              </w:rPr>
              <w:t>道路右侧距路中心线60m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42"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vertAlign w:val="baseline"/>
                <w:lang w:val="en-US" w:eastAsia="zh-CN"/>
              </w:rPr>
            </w:pPr>
          </w:p>
        </w:tc>
        <w:tc>
          <w:tcPr>
            <w:tcW w:w="20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cs="Times New Roman"/>
                <w:vertAlign w:val="baseline"/>
                <w:lang w:val="en-US" w:eastAsia="zh-CN"/>
              </w:rPr>
              <w:t>道路右侧距路中心线80m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42"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vertAlign w:val="baseline"/>
                <w:lang w:val="en-US" w:eastAsia="zh-CN"/>
              </w:rPr>
            </w:pPr>
          </w:p>
        </w:tc>
        <w:tc>
          <w:tcPr>
            <w:tcW w:w="20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cs="Times New Roman"/>
                <w:vertAlign w:val="baseline"/>
                <w:lang w:val="en-US" w:eastAsia="zh-CN"/>
              </w:rPr>
              <w:t>道路右侧距路中心线120m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42"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vertAlign w:val="baseline"/>
                <w:lang w:val="en-US" w:eastAsia="zh-CN"/>
              </w:rPr>
            </w:pPr>
          </w:p>
        </w:tc>
        <w:tc>
          <w:tcPr>
            <w:tcW w:w="20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cs="Times New Roman"/>
                <w:vertAlign w:val="baseline"/>
                <w:lang w:val="en-US" w:eastAsia="zh-CN"/>
              </w:rPr>
              <w:t>道路右侧距路中心线200m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42"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r>
              <w:rPr>
                <w:rFonts w:hint="default" w:ascii="Times New Roman" w:hAnsi="Times New Roman" w:cs="Times New Roman"/>
                <w:vertAlign w:val="baseline"/>
                <w:lang w:val="en-US" w:eastAsia="zh-CN"/>
              </w:rPr>
              <w:t>#</w:t>
            </w:r>
          </w:p>
        </w:tc>
        <w:tc>
          <w:tcPr>
            <w:tcW w:w="2075" w:type="dxa"/>
            <w:vMerge w:val="restart"/>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lang w:val="en-US" w:eastAsia="zh-CN"/>
              </w:rPr>
            </w:pPr>
            <w:r>
              <w:rPr>
                <w:rFonts w:hint="default" w:ascii="Times New Roman" w:hAnsi="Times New Roman" w:cs="Times New Roman"/>
                <w:vertAlign w:val="baseline"/>
                <w:lang w:val="en-US" w:eastAsia="zh-CN"/>
              </w:rPr>
              <w:t>晶泽汐越小区附近</w:t>
            </w:r>
          </w:p>
          <w:p>
            <w:pPr>
              <w:keepNext w:val="0"/>
              <w:keepLines w:val="0"/>
              <w:pageBreakBefore w:val="0"/>
              <w:widowControl w:val="0"/>
              <w:kinsoku/>
              <w:wordWrap/>
              <w:overflowPunct/>
              <w:topLinePunct w:val="0"/>
              <w:bidi w:val="0"/>
              <w:snapToGrid/>
              <w:jc w:val="center"/>
              <w:rPr>
                <w:rFonts w:hint="default" w:ascii="Times New Roman" w:hAnsi="Times New Roman" w:cs="Times New Roman"/>
                <w:lang w:val="en-US" w:eastAsia="zh-CN"/>
              </w:rPr>
            </w:pPr>
            <w:r>
              <w:rPr>
                <w:rFonts w:hint="default" w:ascii="Times New Roman" w:hAnsi="Times New Roman" w:cs="Times New Roman"/>
                <w:lang w:val="en-US" w:eastAsia="zh-CN"/>
              </w:rPr>
              <w:t>E104°46′48.701″</w:t>
            </w:r>
          </w:p>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N29°18′51.324″</w:t>
            </w: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道路右侧距路中心线40m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40m处为24小时连续监测点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42"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rPr>
            </w:pPr>
          </w:p>
        </w:tc>
        <w:tc>
          <w:tcPr>
            <w:tcW w:w="2075"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rPr>
            </w:pP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道路右侧距路中心线60m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42"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vertAlign w:val="baseline"/>
                <w:lang w:val="en-US" w:eastAsia="zh-CN"/>
              </w:rPr>
            </w:pPr>
          </w:p>
        </w:tc>
        <w:tc>
          <w:tcPr>
            <w:tcW w:w="2075"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vertAlign w:val="baseline"/>
                <w:lang w:val="en-US" w:eastAsia="zh-CN"/>
              </w:rPr>
            </w:pP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道路右侧距路中心线80m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42"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vertAlign w:val="baseline"/>
                <w:lang w:val="en-US" w:eastAsia="zh-CN"/>
              </w:rPr>
            </w:pPr>
          </w:p>
        </w:tc>
        <w:tc>
          <w:tcPr>
            <w:tcW w:w="2075"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jc w:val="center"/>
              <w:rPr>
                <w:rFonts w:hint="default" w:ascii="Times New Roman" w:hAnsi="Times New Roman" w:cs="Times New Roman"/>
                <w:vertAlign w:val="baseline"/>
                <w:lang w:val="en-US" w:eastAsia="zh-CN"/>
              </w:rPr>
            </w:pP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道路右侧距路中心线120m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c>
          <w:tcPr>
            <w:tcW w:w="2075"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c>
          <w:tcPr>
            <w:tcW w:w="277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道路右侧距路中心线200m</w:t>
            </w:r>
          </w:p>
        </w:tc>
        <w:tc>
          <w:tcPr>
            <w:tcW w:w="28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snapToGrid/>
              <w:jc w:val="center"/>
              <w:rPr>
                <w:rFonts w:hint="default" w:ascii="Times New Roman" w:hAnsi="Times New Roman" w:cs="Times New Roman"/>
                <w:vertAlign w:val="baseline"/>
                <w:lang w:val="en-US" w:eastAsia="zh-CN"/>
              </w:rPr>
            </w:pP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（3）监测因子：等效连续A声级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default"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（4）</w:t>
      </w:r>
      <w:r>
        <w:rPr>
          <w:rFonts w:hint="default" w:ascii="宋体" w:hAnsi="宋体" w:eastAsia="宋体" w:cs="宋体"/>
          <w:spacing w:val="-5"/>
          <w:sz w:val="24"/>
          <w:szCs w:val="24"/>
          <w:lang w:val="en-US" w:eastAsia="zh-CN"/>
        </w:rPr>
        <w:t>监测频次：监测两天，每天昼间</w:t>
      </w:r>
      <w:r>
        <w:rPr>
          <w:rFonts w:hint="eastAsia" w:ascii="宋体" w:hAnsi="宋体" w:eastAsia="宋体" w:cs="宋体"/>
          <w:spacing w:val="-5"/>
          <w:sz w:val="24"/>
          <w:szCs w:val="24"/>
          <w:lang w:val="en-US" w:eastAsia="zh-CN"/>
        </w:rPr>
        <w:t>1</w:t>
      </w:r>
      <w:r>
        <w:rPr>
          <w:rFonts w:hint="default" w:ascii="宋体" w:hAnsi="宋体" w:eastAsia="宋体" w:cs="宋体"/>
          <w:spacing w:val="-5"/>
          <w:sz w:val="24"/>
          <w:szCs w:val="24"/>
          <w:lang w:val="en-US" w:eastAsia="zh-CN"/>
        </w:rPr>
        <w:t>次（6:00~22:00）、夜间</w:t>
      </w:r>
      <w:r>
        <w:rPr>
          <w:rFonts w:hint="eastAsia" w:ascii="宋体" w:hAnsi="宋体" w:eastAsia="宋体" w:cs="宋体"/>
          <w:spacing w:val="-5"/>
          <w:sz w:val="24"/>
          <w:szCs w:val="24"/>
          <w:lang w:val="en-US" w:eastAsia="zh-CN"/>
        </w:rPr>
        <w:t>1</w:t>
      </w:r>
      <w:r>
        <w:rPr>
          <w:rFonts w:hint="default" w:ascii="宋体" w:hAnsi="宋体" w:eastAsia="宋体" w:cs="宋体"/>
          <w:spacing w:val="-5"/>
          <w:sz w:val="24"/>
          <w:szCs w:val="24"/>
          <w:lang w:val="en-US" w:eastAsia="zh-CN"/>
        </w:rPr>
        <w:t>次（22:00</w:t>
      </w:r>
      <w:r>
        <w:rPr>
          <w:rFonts w:hint="eastAsia" w:ascii="宋体" w:hAnsi="宋体" w:eastAsia="宋体" w:cs="宋体"/>
          <w:spacing w:val="-5"/>
          <w:sz w:val="24"/>
          <w:szCs w:val="24"/>
          <w:lang w:val="en-US" w:eastAsia="zh-CN"/>
        </w:rPr>
        <w:t>~</w:t>
      </w:r>
      <w:r>
        <w:rPr>
          <w:rFonts w:hint="default" w:ascii="宋体" w:hAnsi="宋体" w:eastAsia="宋体" w:cs="宋体"/>
          <w:spacing w:val="-5"/>
          <w:sz w:val="24"/>
          <w:szCs w:val="24"/>
          <w:lang w:val="en-US" w:eastAsia="zh-CN"/>
        </w:rPr>
        <w:t>6:00各监测1次），监测时分别记录大、中、小型车小时车流量。</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spacing w:val="-4"/>
          <w:sz w:val="24"/>
          <w:szCs w:val="24"/>
          <w:lang w:val="en-US" w:eastAsia="zh-CN"/>
        </w:rPr>
      </w:pPr>
      <w:r>
        <w:rPr>
          <w:rFonts w:hint="eastAsia" w:ascii="Times New Roman" w:hAnsi="Times New Roman"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lang w:val="en-US" w:eastAsia="zh-CN"/>
        </w:rPr>
        <w:t>监</w:t>
      </w:r>
      <w:r>
        <w:rPr>
          <w:rFonts w:hint="default" w:ascii="Times New Roman" w:hAnsi="Times New Roman" w:eastAsia="宋体" w:cs="Times New Roman"/>
          <w:b w:val="0"/>
          <w:bCs w:val="0"/>
          <w:color w:val="auto"/>
          <w:sz w:val="24"/>
          <w:szCs w:val="24"/>
          <w:highlight w:val="none"/>
          <w:lang w:val="en-US" w:eastAsia="zh-CN"/>
        </w:rPr>
        <w:t>测</w:t>
      </w:r>
      <w:r>
        <w:rPr>
          <w:rFonts w:hint="default" w:ascii="Times New Roman" w:hAnsi="Times New Roman" w:eastAsia="宋体" w:cs="Times New Roman"/>
          <w:bCs/>
          <w:color w:val="auto"/>
          <w:sz w:val="24"/>
          <w:szCs w:val="24"/>
          <w:highlight w:val="none"/>
          <w:lang w:eastAsia="zh-CN" w:bidi="ar"/>
        </w:rPr>
        <w:t>方法及仪器信息</w:t>
      </w:r>
      <w:r>
        <w:rPr>
          <w:rFonts w:ascii="宋体" w:hAnsi="宋体" w:eastAsia="宋体" w:cs="宋体"/>
          <w:spacing w:val="-4"/>
          <w:sz w:val="24"/>
          <w:szCs w:val="24"/>
        </w:rPr>
        <w:t>表</w:t>
      </w:r>
      <w:r>
        <w:rPr>
          <w:rFonts w:hint="eastAsia" w:ascii="宋体" w:hAnsi="宋体" w:eastAsia="宋体" w:cs="宋体"/>
          <w:spacing w:val="-4"/>
          <w:sz w:val="24"/>
          <w:szCs w:val="24"/>
          <w:lang w:val="en-US" w:eastAsia="zh-CN"/>
        </w:rPr>
        <w:t>5</w:t>
      </w:r>
      <w:r>
        <w:rPr>
          <w:rFonts w:ascii="宋体" w:hAnsi="宋体" w:eastAsia="宋体" w:cs="宋体"/>
          <w:spacing w:val="-4"/>
          <w:sz w:val="24"/>
          <w:szCs w:val="24"/>
        </w:rPr>
        <w:t>.2-</w:t>
      </w:r>
      <w:r>
        <w:rPr>
          <w:rFonts w:hint="eastAsia" w:ascii="宋体" w:hAnsi="宋体" w:eastAsia="宋体" w:cs="宋体"/>
          <w:spacing w:val="-4"/>
          <w:sz w:val="24"/>
          <w:szCs w:val="24"/>
          <w:lang w:val="en-US" w:eastAsia="zh-CN"/>
        </w:rPr>
        <w:t>2</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(6)衰减断面噪声监测结果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44" w:firstLineChars="200"/>
        <w:textAlignment w:val="baseline"/>
        <w:rPr>
          <w:rFonts w:hint="eastAsia" w:ascii="宋体" w:hAnsi="宋体" w:eastAsia="宋体" w:cs="宋体"/>
          <w:spacing w:val="-9"/>
          <w:sz w:val="24"/>
          <w:szCs w:val="24"/>
          <w:lang w:val="en-US" w:eastAsia="zh-CN"/>
        </w:rPr>
      </w:pPr>
      <w:r>
        <w:rPr>
          <w:rFonts w:ascii="宋体" w:hAnsi="宋体" w:eastAsia="宋体" w:cs="宋体"/>
          <w:spacing w:val="-9"/>
          <w:sz w:val="24"/>
          <w:szCs w:val="24"/>
        </w:rPr>
        <w:t>监测结果见表</w:t>
      </w:r>
      <w:r>
        <w:rPr>
          <w:rFonts w:hint="eastAsia" w:ascii="宋体" w:hAnsi="宋体" w:eastAsia="宋体" w:cs="宋体"/>
          <w:spacing w:val="-9"/>
          <w:sz w:val="24"/>
          <w:szCs w:val="24"/>
          <w:lang w:val="en-US" w:eastAsia="zh-CN"/>
        </w:rPr>
        <w:t>5.2-5</w:t>
      </w:r>
    </w:p>
    <w:p>
      <w:pPr>
        <w:pStyle w:val="3"/>
        <w:ind w:firstLine="1998" w:firstLineChars="900"/>
        <w:rPr>
          <w:rFonts w:hint="default"/>
          <w:lang w:val="en-US" w:eastAsia="zh-CN"/>
        </w:rPr>
      </w:pPr>
      <w:r>
        <w:rPr>
          <w:rFonts w:hint="eastAsia" w:ascii="宋体" w:hAnsi="宋体" w:eastAsia="宋体" w:cs="宋体"/>
          <w:spacing w:val="-9"/>
          <w:sz w:val="24"/>
          <w:szCs w:val="24"/>
          <w:lang w:val="en-US" w:eastAsia="zh-CN"/>
        </w:rPr>
        <w:t xml:space="preserve">表5.2-5  </w:t>
      </w:r>
      <w:r>
        <w:rPr>
          <w:rFonts w:hint="eastAsia" w:ascii="Times New Roman" w:hAnsi="Times New Roman" w:eastAsia="黑体" w:cs="Times New Roman"/>
          <w:b w:val="0"/>
          <w:bCs w:val="0"/>
          <w:color w:val="auto"/>
          <w:sz w:val="24"/>
          <w:szCs w:val="24"/>
          <w:lang w:val="en-US" w:eastAsia="zh-CN"/>
        </w:rPr>
        <w:t>衰减断面噪声</w:t>
      </w:r>
      <w:r>
        <w:rPr>
          <w:rFonts w:hint="default" w:ascii="Times New Roman" w:hAnsi="Times New Roman" w:eastAsia="黑体" w:cs="Times New Roman"/>
          <w:b w:val="0"/>
          <w:bCs w:val="0"/>
          <w:color w:val="auto"/>
          <w:sz w:val="24"/>
          <w:szCs w:val="24"/>
          <w:lang w:val="en-US" w:eastAsia="zh-CN"/>
        </w:rPr>
        <w:t>检测结果</w:t>
      </w:r>
    </w:p>
    <w:tbl>
      <w:tblPr>
        <w:tblStyle w:val="13"/>
        <w:tblW w:w="95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26"/>
        <w:gridCol w:w="2070"/>
        <w:gridCol w:w="2120"/>
        <w:gridCol w:w="1803"/>
        <w:gridCol w:w="772"/>
        <w:gridCol w:w="772"/>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tblHeader/>
          <w:jc w:val="center"/>
        </w:trPr>
        <w:tc>
          <w:tcPr>
            <w:tcW w:w="1226"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lang w:eastAsia="zh-CN"/>
              </w:rPr>
              <w:t>测</w:t>
            </w:r>
            <w:r>
              <w:rPr>
                <w:rFonts w:hint="default" w:ascii="Times New Roman" w:hAnsi="Times New Roman" w:eastAsia="宋体" w:cs="Times New Roman"/>
                <w:b/>
                <w:bCs w:val="0"/>
                <w:color w:val="auto"/>
                <w:sz w:val="21"/>
                <w:szCs w:val="21"/>
                <w:highlight w:val="none"/>
              </w:rPr>
              <w:t>日期</w:t>
            </w:r>
          </w:p>
        </w:tc>
        <w:tc>
          <w:tcPr>
            <w:tcW w:w="2070"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lang w:eastAsia="zh-CN"/>
              </w:rPr>
              <w:t>测</w:t>
            </w:r>
            <w:r>
              <w:rPr>
                <w:rFonts w:hint="default" w:ascii="Times New Roman" w:hAnsi="Times New Roman" w:eastAsia="宋体" w:cs="Times New Roman"/>
                <w:b/>
                <w:bCs w:val="0"/>
                <w:color w:val="auto"/>
                <w:sz w:val="21"/>
                <w:szCs w:val="21"/>
                <w:highlight w:val="none"/>
                <w:lang w:val="en-US" w:eastAsia="zh-CN"/>
              </w:rPr>
              <w:t>点位</w:t>
            </w:r>
          </w:p>
        </w:tc>
        <w:tc>
          <w:tcPr>
            <w:tcW w:w="2120"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lang w:eastAsia="zh-CN"/>
              </w:rPr>
              <w:t>测</w:t>
            </w:r>
            <w:r>
              <w:rPr>
                <w:rFonts w:hint="default" w:ascii="Times New Roman" w:hAnsi="Times New Roman" w:eastAsia="宋体" w:cs="Times New Roman"/>
                <w:b/>
                <w:bCs w:val="0"/>
                <w:color w:val="auto"/>
                <w:sz w:val="21"/>
                <w:szCs w:val="21"/>
                <w:highlight w:val="none"/>
              </w:rPr>
              <w:t>时间</w:t>
            </w:r>
          </w:p>
        </w:tc>
        <w:tc>
          <w:tcPr>
            <w:tcW w:w="1803"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rPr>
              <w:t>测结果dB(A)</w:t>
            </w:r>
          </w:p>
        </w:tc>
        <w:tc>
          <w:tcPr>
            <w:tcW w:w="2319" w:type="dxa"/>
            <w:gridSpan w:val="3"/>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车流量（辆</w:t>
            </w:r>
            <w:r>
              <w:rPr>
                <w:rFonts w:hint="default" w:ascii="Times New Roman" w:hAnsi="Times New Roman" w:eastAsia="宋体" w:cs="Times New Roman"/>
                <w:b/>
                <w:bCs w:val="0"/>
                <w:color w:val="auto"/>
                <w:sz w:val="21"/>
                <w:szCs w:val="21"/>
                <w:highlight w:val="none"/>
                <w:lang w:val="en-US" w:eastAsia="zh-CN"/>
              </w:rPr>
              <w:t>/</w:t>
            </w:r>
            <w:r>
              <w:rPr>
                <w:rFonts w:hint="eastAsia" w:ascii="Times New Roman" w:hAnsi="Times New Roman" w:eastAsia="宋体" w:cs="Times New Roman"/>
                <w:b/>
                <w:bCs w:val="0"/>
                <w:color w:val="auto"/>
                <w:sz w:val="21"/>
                <w:szCs w:val="21"/>
                <w:highlight w:val="none"/>
                <w:lang w:val="en-US" w:eastAsia="zh-CN"/>
              </w:rPr>
              <w:t>6</w:t>
            </w:r>
            <w:r>
              <w:rPr>
                <w:rFonts w:hint="default" w:ascii="Times New Roman" w:hAnsi="Times New Roman" w:eastAsia="宋体" w:cs="Times New Roman"/>
                <w:b/>
                <w:bCs w:val="0"/>
                <w:color w:val="auto"/>
                <w:sz w:val="21"/>
                <w:szCs w:val="21"/>
                <w:highlight w:val="none"/>
                <w:lang w:val="en-US" w:eastAsia="zh-CN"/>
              </w:rPr>
              <w:t>0min</w:t>
            </w:r>
            <w:r>
              <w:rPr>
                <w:rFonts w:hint="default" w:ascii="Times New Roman" w:hAnsi="Times New Roman" w:eastAsia="宋体" w:cs="Times New Roman"/>
                <w:b/>
                <w:bCs w:val="0"/>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4" w:hRule="atLeast"/>
          <w:tblHeader/>
          <w:jc w:val="center"/>
        </w:trPr>
        <w:tc>
          <w:tcPr>
            <w:tcW w:w="1226"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rPr>
            </w:pPr>
          </w:p>
        </w:tc>
        <w:tc>
          <w:tcPr>
            <w:tcW w:w="2070"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rPr>
            </w:pPr>
          </w:p>
        </w:tc>
        <w:tc>
          <w:tcPr>
            <w:tcW w:w="2120"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rPr>
            </w:pPr>
          </w:p>
        </w:tc>
        <w:tc>
          <w:tcPr>
            <w:tcW w:w="1803"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val="en-US" w:eastAsia="zh-CN"/>
              </w:rPr>
            </w:pPr>
          </w:p>
        </w:tc>
        <w:tc>
          <w:tcPr>
            <w:tcW w:w="772"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小</w:t>
            </w:r>
            <w:r>
              <w:rPr>
                <w:rFonts w:hint="default" w:ascii="Times New Roman" w:hAnsi="Times New Roman" w:eastAsia="宋体" w:cs="Times New Roman"/>
                <w:b/>
                <w:bCs w:val="0"/>
                <w:color w:val="auto"/>
                <w:sz w:val="21"/>
                <w:szCs w:val="21"/>
                <w:highlight w:val="none"/>
              </w:rPr>
              <w:t>型车</w:t>
            </w:r>
          </w:p>
        </w:tc>
        <w:tc>
          <w:tcPr>
            <w:tcW w:w="772"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中型车</w:t>
            </w:r>
          </w:p>
        </w:tc>
        <w:tc>
          <w:tcPr>
            <w:tcW w:w="775"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大</w:t>
            </w:r>
            <w:r>
              <w:rPr>
                <w:rFonts w:hint="default" w:ascii="Times New Roman" w:hAnsi="Times New Roman" w:eastAsia="宋体" w:cs="Times New Roman"/>
                <w:b/>
                <w:bCs w:val="0"/>
                <w:color w:val="auto"/>
                <w:sz w:val="21"/>
                <w:szCs w:val="21"/>
                <w:highlight w:val="none"/>
              </w:rPr>
              <w:t>型车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11月1日</w:t>
            </w: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34</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34# 晶泽汐越小区附近道路右侧距路中心线40m处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14:18-14:38（昼）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805</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22:01-22:21（夜）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35</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35# 晶泽汐越小区附近道路右侧距路中心线60m处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14:18-14:38（昼）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805</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22:01-22:21（夜）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36</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36# 晶泽汐越小区附近道路右侧距路中心线80m处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14:18-14:38（昼）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58</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805</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22:01-22:21（夜）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37</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37# 晶泽汐越小区附近道路右侧距路中心线120m处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14:18-14:38（昼）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57</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805</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22:01-22:21（夜）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38</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38# 晶泽汐越小区附近道路右侧距路中心线200m处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14:18-14:38（昼）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805</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22:01-22:21（夜）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40</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40# 六房村附近道路右侧距路中心线40m处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15:28-15:48（昼）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23:02-23:22（夜）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41</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41# 六房村附近道路右侧距路中心线60m处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15:28-15:48（昼）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23:02-23:22（夜）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42</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42# 六房村附近道路右侧距路中心线80m处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15:28-15:48（昼）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23:02-23:22（夜）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43</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43# 六房村附近道路右侧距路中心线120m处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15:28-15:48（昼）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23:02-23:22（夜）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REF 噪声</w:instrText>
            </w:r>
            <w:r>
              <w:rPr>
                <w:rFonts w:hint="eastAsia" w:ascii="Times New Roman" w:hAnsi="Times New Roman" w:eastAsia="宋体" w:cs="Times New Roman"/>
                <w:i w:val="0"/>
                <w:iCs w:val="0"/>
                <w:color w:val="auto"/>
                <w:kern w:val="0"/>
                <w:sz w:val="21"/>
                <w:szCs w:val="21"/>
                <w:highlight w:val="none"/>
                <w:u w:val="none"/>
                <w:lang w:val="en-US" w:eastAsia="zh-CN" w:bidi="ar"/>
              </w:rPr>
              <w:instrText xml:space="preserve">44</w:instrText>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 \* MERGEFORMAT</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44# 六房村附近道路右侧距路中心线200m处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15:28-15:48（昼）</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226"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70" w:type="dxa"/>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120"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23:02-23:22（夜）</w:t>
            </w:r>
          </w:p>
        </w:tc>
        <w:tc>
          <w:tcPr>
            <w:tcW w:w="1803"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7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5"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r>
    </w:tbl>
    <w:p>
      <w:pPr>
        <w:spacing w:before="181" w:line="219" w:lineRule="auto"/>
        <w:rPr>
          <w:rFonts w:hint="eastAsia" w:ascii="宋体" w:hAnsi="宋体" w:eastAsia="宋体" w:cs="宋体"/>
          <w:spacing w:val="-13"/>
          <w:sz w:val="25"/>
          <w:szCs w:val="25"/>
          <w:lang w:val="en-US" w:eastAsia="zh-CN"/>
        </w:rPr>
      </w:pPr>
      <w:r>
        <w:rPr>
          <w:rFonts w:ascii="宋体" w:hAnsi="宋体" w:eastAsia="宋体" w:cs="宋体"/>
          <w:spacing w:val="-12"/>
          <w:sz w:val="25"/>
          <w:szCs w:val="25"/>
        </w:rPr>
        <w:t>根据监测结果，绘制衰减距离一噪声值曲线如图</w:t>
      </w:r>
      <w:r>
        <w:rPr>
          <w:rFonts w:hint="eastAsia" w:ascii="宋体" w:hAnsi="宋体" w:eastAsia="宋体" w:cs="宋体"/>
          <w:spacing w:val="-12"/>
          <w:sz w:val="25"/>
          <w:szCs w:val="25"/>
          <w:lang w:val="en-US" w:eastAsia="zh-CN"/>
        </w:rPr>
        <w:t>5.2-1</w:t>
      </w:r>
      <w:r>
        <w:rPr>
          <w:rFonts w:ascii="宋体" w:hAnsi="宋体" w:eastAsia="宋体" w:cs="宋体"/>
          <w:spacing w:val="-13"/>
          <w:sz w:val="25"/>
          <w:szCs w:val="25"/>
        </w:rPr>
        <w:t>图</w:t>
      </w:r>
      <w:r>
        <w:rPr>
          <w:rFonts w:hint="eastAsia" w:ascii="宋体" w:hAnsi="宋体" w:eastAsia="宋体" w:cs="宋体"/>
          <w:spacing w:val="-13"/>
          <w:sz w:val="25"/>
          <w:szCs w:val="25"/>
          <w:lang w:val="en-US" w:eastAsia="zh-CN"/>
        </w:rPr>
        <w:t>5.2-2</w:t>
      </w:r>
    </w:p>
    <w:p>
      <w:pPr>
        <w:pStyle w:val="3"/>
      </w:pPr>
      <w:r>
        <w:drawing>
          <wp:inline distT="0" distB="0" distL="114300" distR="114300">
            <wp:extent cx="4826000" cy="2755900"/>
            <wp:effectExtent l="5080" t="4445" r="7620" b="2095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3"/>
        <w:rPr>
          <w:rFonts w:hint="eastAsia" w:eastAsia="宋体"/>
          <w:lang w:val="en-US" w:eastAsia="zh-CN"/>
        </w:rPr>
      </w:pPr>
      <w:r>
        <w:rPr>
          <w:rFonts w:hint="eastAsia" w:eastAsia="宋体"/>
          <w:lang w:val="en-US" w:eastAsia="zh-CN"/>
        </w:rPr>
        <w:t xml:space="preserve">          图5.2-1  晶泽汐越小区附近噪声昼间、夜间随距离变化图 </w:t>
      </w:r>
    </w:p>
    <w:p>
      <w:pPr>
        <w:pStyle w:val="3"/>
        <w:rPr>
          <w:rFonts w:hint="default" w:eastAsia="宋体"/>
          <w:lang w:val="en-US" w:eastAsia="zh-CN"/>
        </w:rPr>
      </w:pPr>
      <w:r>
        <w:drawing>
          <wp:inline distT="0" distB="0" distL="114300" distR="114300">
            <wp:extent cx="4826000" cy="2743200"/>
            <wp:effectExtent l="4445" t="4445" r="8255" b="14605"/>
            <wp:docPr id="1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before="78" w:line="480" w:lineRule="exact"/>
        <w:ind w:firstLine="744" w:firstLineChars="300"/>
        <w:rPr>
          <w:rFonts w:hint="eastAsia" w:ascii="宋体" w:hAnsi="宋体" w:eastAsia="宋体" w:cs="宋体"/>
          <w:spacing w:val="4"/>
          <w:position w:val="18"/>
          <w:sz w:val="24"/>
          <w:szCs w:val="24"/>
          <w:lang w:val="en-US" w:eastAsia="zh-CN"/>
        </w:rPr>
      </w:pPr>
      <w:r>
        <w:rPr>
          <w:rFonts w:hint="eastAsia" w:ascii="宋体" w:hAnsi="宋体" w:eastAsia="宋体" w:cs="宋体"/>
          <w:spacing w:val="4"/>
          <w:position w:val="18"/>
          <w:sz w:val="24"/>
          <w:szCs w:val="24"/>
          <w:lang w:val="en-US" w:eastAsia="zh-CN"/>
        </w:rPr>
        <w:t>图5.2-2 六房村附近噪声昼间、夜间随距离变化图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 xml:space="preserve"> 从上述纵向断面噪声衰减曲线可知：项目噪声纵向衰减的方式符合交通噪声衰减特性，噪声值随着高度的增加呈递减趋势。</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1"/>
        </w:rPr>
      </w:pPr>
      <w:r>
        <w:rPr>
          <w:rFonts w:hint="eastAsia" w:ascii="宋体" w:hAnsi="宋体" w:eastAsia="宋体" w:cs="宋体"/>
          <w:b/>
          <w:bCs/>
          <w:sz w:val="24"/>
          <w:szCs w:val="24"/>
          <w:lang w:val="en-US" w:eastAsia="zh-CN"/>
        </w:rPr>
        <w:t>5</w:t>
      </w:r>
      <w:r>
        <w:rPr>
          <w:rFonts w:ascii="宋体" w:hAnsi="宋体" w:eastAsia="宋体" w:cs="宋体"/>
          <w:b/>
          <w:bCs/>
          <w:sz w:val="24"/>
          <w:szCs w:val="24"/>
        </w:rPr>
        <w:t>.2.</w:t>
      </w:r>
      <w:r>
        <w:rPr>
          <w:rFonts w:hint="eastAsia" w:ascii="宋体" w:hAnsi="宋体" w:eastAsia="宋体" w:cs="宋体"/>
          <w:b/>
          <w:bCs/>
          <w:sz w:val="24"/>
          <w:szCs w:val="24"/>
          <w:lang w:val="en-US" w:eastAsia="zh-CN"/>
        </w:rPr>
        <w:t>2.</w:t>
      </w:r>
      <w:r>
        <w:rPr>
          <w:rFonts w:ascii="宋体" w:hAnsi="宋体" w:eastAsia="宋体" w:cs="宋体"/>
          <w:b/>
          <w:bCs/>
          <w:sz w:val="24"/>
          <w:szCs w:val="24"/>
        </w:rPr>
        <w:t>3交通噪声24小时连续监测调查与分析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default" w:ascii="宋体" w:hAnsi="宋体" w:eastAsia="宋体" w:cs="宋体"/>
          <w:spacing w:val="-5"/>
          <w:sz w:val="24"/>
          <w:szCs w:val="24"/>
          <w:lang w:val="en-US" w:eastAsia="zh-CN"/>
        </w:rPr>
      </w:pPr>
      <w:bookmarkStart w:id="68" w:name="_bookmark68"/>
      <w:bookmarkEnd w:id="68"/>
      <w:bookmarkStart w:id="69" w:name="_bookmark66"/>
      <w:bookmarkEnd w:id="69"/>
      <w:bookmarkStart w:id="70" w:name="_bookmark67"/>
      <w:bookmarkEnd w:id="70"/>
      <w:bookmarkStart w:id="71" w:name="_bookmark69"/>
      <w:bookmarkEnd w:id="71"/>
      <w:r>
        <w:rPr>
          <w:rFonts w:hint="eastAsia" w:ascii="宋体" w:hAnsi="宋体" w:eastAsia="宋体" w:cs="宋体"/>
          <w:spacing w:val="-5"/>
          <w:sz w:val="24"/>
          <w:szCs w:val="24"/>
          <w:lang w:val="en-US" w:eastAsia="zh-CN"/>
        </w:rPr>
        <w:t>（1）24小时连续监测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在衰减断面40m处同时进行24小时连续监测。昼间（6:00~22:00）夜间（22:00~6:00）每小时监测1次，记录大、中、小型小时车流量。</w:t>
      </w:r>
    </w:p>
    <w:p>
      <w:pPr>
        <w:keepNext w:val="0"/>
        <w:keepLines w:val="0"/>
        <w:pageBreakBefore w:val="0"/>
        <w:widowControl/>
        <w:numPr>
          <w:ilvl w:val="0"/>
          <w:numId w:val="7"/>
        </w:numPr>
        <w:kinsoku w:val="0"/>
        <w:wordWrap/>
        <w:overflowPunct/>
        <w:topLinePunct w:val="0"/>
        <w:autoSpaceDE w:val="0"/>
        <w:autoSpaceDN w:val="0"/>
        <w:bidi w:val="0"/>
        <w:adjustRightInd w:val="0"/>
        <w:snapToGrid w:val="0"/>
        <w:spacing w:line="360" w:lineRule="auto"/>
        <w:textAlignment w:val="baseline"/>
        <w:rPr>
          <w:rFonts w:ascii="宋体" w:hAnsi="宋体" w:eastAsia="宋体" w:cs="宋体"/>
          <w:spacing w:val="-7"/>
          <w:sz w:val="24"/>
          <w:szCs w:val="24"/>
        </w:rPr>
      </w:pPr>
      <w:r>
        <w:rPr>
          <w:rFonts w:ascii="宋体" w:hAnsi="宋体" w:eastAsia="宋体" w:cs="宋体"/>
          <w:spacing w:val="-7"/>
          <w:sz w:val="24"/>
          <w:szCs w:val="24"/>
        </w:rPr>
        <w:t>监测结果见表</w:t>
      </w:r>
      <w:r>
        <w:rPr>
          <w:rFonts w:hint="eastAsia" w:ascii="宋体" w:hAnsi="宋体" w:eastAsia="宋体" w:cs="宋体"/>
          <w:spacing w:val="-7"/>
          <w:sz w:val="24"/>
          <w:szCs w:val="24"/>
          <w:lang w:val="en-US" w:eastAsia="zh-CN"/>
        </w:rPr>
        <w:t>5</w:t>
      </w:r>
      <w:r>
        <w:rPr>
          <w:rFonts w:ascii="宋体" w:hAnsi="宋体" w:eastAsia="宋体" w:cs="宋体"/>
          <w:spacing w:val="-7"/>
          <w:sz w:val="24"/>
          <w:szCs w:val="24"/>
        </w:rPr>
        <w:t>.2-6。</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1540" w:firstLineChars="700"/>
        <w:textAlignment w:val="baseline"/>
        <w:rPr>
          <w:rFonts w:hint="default" w:eastAsia="宋体"/>
          <w:lang w:val="en-US" w:eastAsia="zh-CN"/>
        </w:rPr>
      </w:pPr>
      <w:r>
        <w:rPr>
          <w:rFonts w:hint="eastAsia" w:eastAsia="宋体"/>
          <w:sz w:val="22"/>
          <w:szCs w:val="20"/>
          <w:lang w:val="en-US" w:eastAsia="zh-CN"/>
        </w:rPr>
        <w:t>表5.2-6   交通噪声24h 连续监测结果一览表</w:t>
      </w:r>
    </w:p>
    <w:tbl>
      <w:tblPr>
        <w:tblStyle w:val="13"/>
        <w:tblW w:w="9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11"/>
        <w:gridCol w:w="2044"/>
        <w:gridCol w:w="2093"/>
        <w:gridCol w:w="1781"/>
        <w:gridCol w:w="763"/>
        <w:gridCol w:w="763"/>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6" w:hRule="atLeast"/>
          <w:tblHeader/>
          <w:jc w:val="center"/>
        </w:trPr>
        <w:tc>
          <w:tcPr>
            <w:tcW w:w="1211"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lang w:eastAsia="zh-CN"/>
              </w:rPr>
              <w:t>测</w:t>
            </w:r>
            <w:r>
              <w:rPr>
                <w:rFonts w:hint="default" w:ascii="Times New Roman" w:hAnsi="Times New Roman" w:eastAsia="宋体" w:cs="Times New Roman"/>
                <w:b/>
                <w:bCs w:val="0"/>
                <w:color w:val="auto"/>
                <w:sz w:val="21"/>
                <w:szCs w:val="21"/>
                <w:highlight w:val="none"/>
              </w:rPr>
              <w:t>日期</w:t>
            </w:r>
          </w:p>
        </w:tc>
        <w:tc>
          <w:tcPr>
            <w:tcW w:w="2044"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lang w:eastAsia="zh-CN"/>
              </w:rPr>
              <w:t>测</w:t>
            </w:r>
            <w:r>
              <w:rPr>
                <w:rFonts w:hint="default" w:ascii="Times New Roman" w:hAnsi="Times New Roman" w:eastAsia="宋体" w:cs="Times New Roman"/>
                <w:b/>
                <w:bCs w:val="0"/>
                <w:color w:val="auto"/>
                <w:sz w:val="21"/>
                <w:szCs w:val="21"/>
                <w:highlight w:val="none"/>
                <w:lang w:val="en-US" w:eastAsia="zh-CN"/>
              </w:rPr>
              <w:t>点位</w:t>
            </w:r>
          </w:p>
        </w:tc>
        <w:tc>
          <w:tcPr>
            <w:tcW w:w="2093"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lang w:eastAsia="zh-CN"/>
              </w:rPr>
              <w:t>测</w:t>
            </w:r>
            <w:r>
              <w:rPr>
                <w:rFonts w:hint="default" w:ascii="Times New Roman" w:hAnsi="Times New Roman" w:eastAsia="宋体" w:cs="Times New Roman"/>
                <w:b/>
                <w:bCs w:val="0"/>
                <w:color w:val="auto"/>
                <w:sz w:val="21"/>
                <w:szCs w:val="21"/>
                <w:highlight w:val="none"/>
              </w:rPr>
              <w:t>时间</w:t>
            </w:r>
          </w:p>
        </w:tc>
        <w:tc>
          <w:tcPr>
            <w:tcW w:w="1781" w:type="dxa"/>
            <w:vMerge w:val="restart"/>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val="en-US" w:eastAsia="zh-CN" w:bidi="ar"/>
              </w:rPr>
            </w:pPr>
            <w:r>
              <w:rPr>
                <w:rFonts w:hint="default" w:ascii="Times New Roman" w:hAnsi="Times New Roman" w:eastAsia="宋体" w:cs="Times New Roman"/>
                <w:b/>
                <w:bCs w:val="0"/>
                <w:color w:val="auto"/>
                <w:sz w:val="21"/>
                <w:szCs w:val="21"/>
                <w:highlight w:val="none"/>
                <w:lang w:val="en-US" w:eastAsia="zh-CN" w:bidi="ar"/>
              </w:rPr>
              <w:t>监</w:t>
            </w:r>
            <w:r>
              <w:rPr>
                <w:rFonts w:hint="default" w:ascii="Times New Roman" w:hAnsi="Times New Roman" w:eastAsia="宋体" w:cs="Times New Roman"/>
                <w:b/>
                <w:bCs w:val="0"/>
                <w:color w:val="auto"/>
                <w:sz w:val="21"/>
                <w:szCs w:val="21"/>
                <w:highlight w:val="none"/>
              </w:rPr>
              <w:t>测结果dB(A)</w:t>
            </w:r>
          </w:p>
        </w:tc>
        <w:tc>
          <w:tcPr>
            <w:tcW w:w="2289" w:type="dxa"/>
            <w:gridSpan w:val="3"/>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车流量（辆</w:t>
            </w:r>
            <w:r>
              <w:rPr>
                <w:rFonts w:hint="default" w:ascii="Times New Roman" w:hAnsi="Times New Roman" w:eastAsia="宋体" w:cs="Times New Roman"/>
                <w:b/>
                <w:bCs w:val="0"/>
                <w:color w:val="auto"/>
                <w:sz w:val="21"/>
                <w:szCs w:val="21"/>
                <w:highlight w:val="none"/>
                <w:lang w:val="en-US" w:eastAsia="zh-CN"/>
              </w:rPr>
              <w:t>/</w:t>
            </w:r>
            <w:r>
              <w:rPr>
                <w:rFonts w:hint="eastAsia" w:ascii="Times New Roman" w:hAnsi="Times New Roman" w:eastAsia="宋体" w:cs="Times New Roman"/>
                <w:b/>
                <w:bCs w:val="0"/>
                <w:color w:val="auto"/>
                <w:sz w:val="21"/>
                <w:szCs w:val="21"/>
                <w:highlight w:val="none"/>
                <w:lang w:val="en-US" w:eastAsia="zh-CN"/>
              </w:rPr>
              <w:t>6</w:t>
            </w:r>
            <w:r>
              <w:rPr>
                <w:rFonts w:hint="default" w:ascii="Times New Roman" w:hAnsi="Times New Roman" w:eastAsia="宋体" w:cs="Times New Roman"/>
                <w:b/>
                <w:bCs w:val="0"/>
                <w:color w:val="auto"/>
                <w:sz w:val="21"/>
                <w:szCs w:val="21"/>
                <w:highlight w:val="none"/>
                <w:lang w:val="en-US" w:eastAsia="zh-CN"/>
              </w:rPr>
              <w:t>0min</w:t>
            </w:r>
            <w:r>
              <w:rPr>
                <w:rFonts w:hint="default" w:ascii="Times New Roman" w:hAnsi="Times New Roman" w:eastAsia="宋体" w:cs="Times New Roman"/>
                <w:b/>
                <w:bCs w:val="0"/>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tblHeader/>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rPr>
            </w:pPr>
          </w:p>
        </w:tc>
        <w:tc>
          <w:tcPr>
            <w:tcW w:w="2044"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rPr>
            </w:pPr>
          </w:p>
        </w:tc>
        <w:tc>
          <w:tcPr>
            <w:tcW w:w="2093"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highlight w:val="none"/>
                <w:lang w:eastAsia="zh-CN"/>
              </w:rPr>
            </w:pPr>
          </w:p>
        </w:tc>
        <w:tc>
          <w:tcPr>
            <w:tcW w:w="178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val="en-US" w:eastAsia="zh-CN"/>
              </w:rPr>
            </w:pPr>
          </w:p>
        </w:tc>
        <w:tc>
          <w:tcPr>
            <w:tcW w:w="763"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小</w:t>
            </w:r>
            <w:r>
              <w:rPr>
                <w:rFonts w:hint="default" w:ascii="Times New Roman" w:hAnsi="Times New Roman" w:eastAsia="宋体" w:cs="Times New Roman"/>
                <w:b/>
                <w:bCs w:val="0"/>
                <w:color w:val="auto"/>
                <w:sz w:val="21"/>
                <w:szCs w:val="21"/>
                <w:highlight w:val="none"/>
              </w:rPr>
              <w:t>型车</w:t>
            </w:r>
          </w:p>
        </w:tc>
        <w:tc>
          <w:tcPr>
            <w:tcW w:w="763"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中型车</w:t>
            </w:r>
          </w:p>
        </w:tc>
        <w:tc>
          <w:tcPr>
            <w:tcW w:w="763" w:type="dxa"/>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大</w:t>
            </w:r>
            <w:r>
              <w:rPr>
                <w:rFonts w:hint="default" w:ascii="Times New Roman" w:hAnsi="Times New Roman" w:eastAsia="宋体" w:cs="Times New Roman"/>
                <w:b/>
                <w:bCs w:val="0"/>
                <w:color w:val="auto"/>
                <w:sz w:val="21"/>
                <w:szCs w:val="21"/>
                <w:highlight w:val="none"/>
              </w:rPr>
              <w:t>型车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w:t>
            </w:r>
            <w:r>
              <w:rPr>
                <w:rFonts w:hint="default" w:ascii="Times New Roman" w:hAnsi="Times New Roman" w:eastAsia="宋体" w:cs="Times New Roman"/>
                <w:b w:val="0"/>
                <w:bCs/>
                <w:color w:val="auto"/>
                <w:sz w:val="21"/>
                <w:szCs w:val="21"/>
                <w:highlight w:val="none"/>
                <w:lang w:val="en-US" w:eastAsia="zh-CN"/>
              </w:rPr>
              <w:t>月</w:t>
            </w:r>
            <w:r>
              <w:rPr>
                <w:rFonts w:hint="eastAsia" w:ascii="Times New Roman" w:hAnsi="Times New Roman" w:eastAsia="宋体" w:cs="Times New Roman"/>
                <w:b w:val="0"/>
                <w:bCs/>
                <w:color w:val="auto"/>
                <w:sz w:val="21"/>
                <w:szCs w:val="21"/>
                <w:highlight w:val="none"/>
                <w:lang w:val="en-US" w:eastAsia="zh-CN"/>
              </w:rPr>
              <w:t>31</w:t>
            </w:r>
            <w:r>
              <w:rPr>
                <w:rFonts w:hint="default" w:ascii="Times New Roman" w:hAnsi="Times New Roman" w:eastAsia="宋体" w:cs="Times New Roman"/>
                <w:b w:val="0"/>
                <w:bCs/>
                <w:color w:val="auto"/>
                <w:sz w:val="21"/>
                <w:szCs w:val="21"/>
                <w:highlight w:val="none"/>
                <w:lang w:val="en-US" w:eastAsia="zh-CN"/>
              </w:rPr>
              <w:t>日</w:t>
            </w:r>
            <w:r>
              <w:rPr>
                <w:rFonts w:hint="default" w:ascii="Times New Roman" w:hAnsi="Times New Roman" w:eastAsia="宋体" w:cs="Times New Roman"/>
                <w:b w:val="0"/>
                <w:bCs/>
                <w:color w:val="auto"/>
                <w:sz w:val="21"/>
                <w:szCs w:val="21"/>
                <w:highlight w:val="none"/>
                <w:lang w:val="en-US" w:eastAsia="zh-CN"/>
              </w:rPr>
              <w:br w:type="page"/>
            </w:r>
          </w:p>
        </w:tc>
        <w:tc>
          <w:tcPr>
            <w:tcW w:w="204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fldChar w:fldCharType="begin"/>
            </w:r>
            <w:r>
              <w:rPr>
                <w:rFonts w:hint="default" w:ascii="Times New Roman" w:hAnsi="Times New Roman" w:eastAsia="宋体" w:cs="Times New Roman"/>
                <w:b w:val="0"/>
                <w:bCs/>
                <w:color w:val="auto"/>
                <w:kern w:val="2"/>
                <w:sz w:val="21"/>
                <w:szCs w:val="21"/>
                <w:highlight w:val="none"/>
                <w:lang w:val="en-US" w:eastAsia="zh-CN" w:bidi="ar-SA"/>
              </w:rPr>
              <w:instrText xml:space="preserve"> REF 噪声</w:instrText>
            </w:r>
            <w:r>
              <w:rPr>
                <w:rFonts w:hint="eastAsia" w:ascii="Times New Roman" w:hAnsi="Times New Roman" w:eastAsia="宋体" w:cs="Times New Roman"/>
                <w:b w:val="0"/>
                <w:bCs/>
                <w:color w:val="auto"/>
                <w:kern w:val="2"/>
                <w:sz w:val="21"/>
                <w:szCs w:val="21"/>
                <w:highlight w:val="none"/>
                <w:lang w:val="en-US" w:eastAsia="zh-CN" w:bidi="ar-SA"/>
              </w:rPr>
              <w:instrText xml:space="preserve">39</w:instrText>
            </w:r>
            <w:r>
              <w:rPr>
                <w:rFonts w:hint="default" w:ascii="Times New Roman" w:hAnsi="Times New Roman" w:eastAsia="宋体" w:cs="Times New Roman"/>
                <w:b w:val="0"/>
                <w:bCs/>
                <w:color w:val="auto"/>
                <w:kern w:val="2"/>
                <w:sz w:val="21"/>
                <w:szCs w:val="21"/>
                <w:highlight w:val="none"/>
                <w:lang w:val="en-US" w:eastAsia="zh-CN" w:bidi="ar-SA"/>
              </w:rPr>
              <w:instrText xml:space="preserve"> \h \* MERGEFORMAT</w:instrText>
            </w:r>
            <w:r>
              <w:rPr>
                <w:rFonts w:hint="default" w:ascii="Times New Roman" w:hAnsi="Times New Roman" w:eastAsia="宋体" w:cs="Times New Roman"/>
                <w:b w:val="0"/>
                <w:bCs/>
                <w:color w:val="auto"/>
                <w:kern w:val="2"/>
                <w:sz w:val="21"/>
                <w:szCs w:val="21"/>
                <w:highlight w:val="none"/>
                <w:lang w:val="en-US" w:eastAsia="zh-CN" w:bidi="ar-SA"/>
              </w:rPr>
              <w:fldChar w:fldCharType="separate"/>
            </w:r>
            <w:r>
              <w:rPr>
                <w:rFonts w:hint="default" w:ascii="Times New Roman" w:hAnsi="Times New Roman" w:eastAsia="宋体" w:cs="Times New Roman"/>
                <w:b w:val="0"/>
                <w:bCs/>
                <w:color w:val="auto"/>
                <w:kern w:val="2"/>
                <w:sz w:val="21"/>
                <w:szCs w:val="21"/>
                <w:highlight w:val="none"/>
                <w:lang w:val="en-US" w:eastAsia="zh-CN" w:bidi="ar-SA"/>
              </w:rPr>
              <w:t>39# 晶泽汐越小区附近道路右侧距路中心线40m处</w:t>
            </w:r>
            <w:r>
              <w:rPr>
                <w:rFonts w:hint="default" w:ascii="Times New Roman" w:hAnsi="Times New Roman" w:eastAsia="宋体" w:cs="Times New Roman"/>
                <w:b w:val="0"/>
                <w:bCs/>
                <w:color w:val="auto"/>
                <w:kern w:val="2"/>
                <w:sz w:val="21"/>
                <w:szCs w:val="21"/>
                <w:highlight w:val="none"/>
                <w:lang w:val="en-US" w:eastAsia="zh-CN" w:bidi="ar-SA"/>
              </w:rPr>
              <w:fldChar w:fldCharType="end"/>
            </w: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14:00-15:00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2147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15:00-16:00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2235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16:00-17:00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2312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17:00-18:00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2162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18:00-19:00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60</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2034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19:00-20:00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1526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20:00-21:00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1003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21:00-22:00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752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22:00-23:00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23:00-次日00:00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314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次日00:00-01:00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303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次日01:00-02:00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291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次日02:00-03:00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256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次日03:00-04:00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275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次日04:00-05:00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327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次日05:00-06:00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60</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674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次日06:00-07:00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1128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次日07:00-08:00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1493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次日08:00-09:00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1839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次日09:00-10:00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2079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次日10:00-11:00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2106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次日11:00-12:00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2015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次日12:00-13:00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60</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1976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次日13:00-14:00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60</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1943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10</w:t>
            </w:r>
            <w:r>
              <w:rPr>
                <w:rFonts w:hint="default" w:ascii="Times New Roman" w:hAnsi="Times New Roman" w:eastAsia="宋体" w:cs="Times New Roman"/>
                <w:b w:val="0"/>
                <w:bCs/>
                <w:color w:val="auto"/>
                <w:sz w:val="21"/>
                <w:szCs w:val="21"/>
                <w:highlight w:val="none"/>
                <w:lang w:val="en-US" w:eastAsia="zh-CN"/>
              </w:rPr>
              <w:t>月</w:t>
            </w:r>
            <w:r>
              <w:rPr>
                <w:rFonts w:hint="eastAsia" w:ascii="Times New Roman" w:hAnsi="Times New Roman" w:eastAsia="宋体" w:cs="Times New Roman"/>
                <w:b w:val="0"/>
                <w:bCs/>
                <w:color w:val="auto"/>
                <w:sz w:val="21"/>
                <w:szCs w:val="21"/>
                <w:highlight w:val="none"/>
                <w:lang w:val="en-US" w:eastAsia="zh-CN"/>
              </w:rPr>
              <w:t>30</w:t>
            </w:r>
            <w:r>
              <w:rPr>
                <w:rFonts w:hint="default" w:ascii="Times New Roman" w:hAnsi="Times New Roman" w:eastAsia="宋体" w:cs="Times New Roman"/>
                <w:b w:val="0"/>
                <w:bCs/>
                <w:color w:val="auto"/>
                <w:sz w:val="21"/>
                <w:szCs w:val="21"/>
                <w:highlight w:val="none"/>
                <w:lang w:val="en-US" w:eastAsia="zh-CN"/>
              </w:rPr>
              <w:t>日</w:t>
            </w:r>
            <w:r>
              <w:rPr>
                <w:rFonts w:hint="default" w:ascii="Times New Roman" w:hAnsi="Times New Roman" w:eastAsia="宋体" w:cs="Times New Roman"/>
                <w:b w:val="0"/>
                <w:bCs/>
                <w:color w:val="auto"/>
                <w:sz w:val="21"/>
                <w:szCs w:val="21"/>
                <w:highlight w:val="none"/>
                <w:lang w:val="en-US" w:eastAsia="zh-CN"/>
              </w:rPr>
              <w:br w:type="page"/>
            </w:r>
          </w:p>
        </w:tc>
        <w:tc>
          <w:tcPr>
            <w:tcW w:w="204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fldChar w:fldCharType="begin"/>
            </w:r>
            <w:r>
              <w:rPr>
                <w:rFonts w:hint="default" w:ascii="Times New Roman" w:hAnsi="Times New Roman" w:eastAsia="宋体" w:cs="Times New Roman"/>
                <w:b w:val="0"/>
                <w:bCs/>
                <w:color w:val="auto"/>
                <w:kern w:val="2"/>
                <w:sz w:val="21"/>
                <w:szCs w:val="21"/>
                <w:highlight w:val="none"/>
                <w:lang w:val="en-US" w:eastAsia="zh-CN" w:bidi="ar-SA"/>
              </w:rPr>
              <w:instrText xml:space="preserve"> REF 噪声</w:instrText>
            </w:r>
            <w:r>
              <w:rPr>
                <w:rFonts w:hint="eastAsia" w:ascii="Times New Roman" w:hAnsi="Times New Roman" w:eastAsia="宋体" w:cs="Times New Roman"/>
                <w:b w:val="0"/>
                <w:bCs/>
                <w:color w:val="auto"/>
                <w:kern w:val="2"/>
                <w:sz w:val="21"/>
                <w:szCs w:val="21"/>
                <w:highlight w:val="none"/>
                <w:lang w:val="en-US" w:eastAsia="zh-CN" w:bidi="ar-SA"/>
              </w:rPr>
              <w:instrText xml:space="preserve">45</w:instrText>
            </w:r>
            <w:r>
              <w:rPr>
                <w:rFonts w:hint="default" w:ascii="Times New Roman" w:hAnsi="Times New Roman" w:eastAsia="宋体" w:cs="Times New Roman"/>
                <w:b w:val="0"/>
                <w:bCs/>
                <w:color w:val="auto"/>
                <w:kern w:val="2"/>
                <w:sz w:val="21"/>
                <w:szCs w:val="21"/>
                <w:highlight w:val="none"/>
                <w:lang w:val="en-US" w:eastAsia="zh-CN" w:bidi="ar-SA"/>
              </w:rPr>
              <w:instrText xml:space="preserve"> \h \* MERGEFORMAT</w:instrText>
            </w:r>
            <w:r>
              <w:rPr>
                <w:rFonts w:hint="default" w:ascii="Times New Roman" w:hAnsi="Times New Roman" w:eastAsia="宋体" w:cs="Times New Roman"/>
                <w:b w:val="0"/>
                <w:bCs/>
                <w:color w:val="auto"/>
                <w:kern w:val="2"/>
                <w:sz w:val="21"/>
                <w:szCs w:val="21"/>
                <w:highlight w:val="none"/>
                <w:lang w:val="en-US" w:eastAsia="zh-CN" w:bidi="ar-SA"/>
              </w:rPr>
              <w:fldChar w:fldCharType="separate"/>
            </w:r>
            <w:r>
              <w:rPr>
                <w:rFonts w:hint="default" w:ascii="Times New Roman" w:hAnsi="Times New Roman" w:eastAsia="宋体" w:cs="Times New Roman"/>
                <w:b w:val="0"/>
                <w:bCs/>
                <w:color w:val="auto"/>
                <w:kern w:val="2"/>
                <w:sz w:val="21"/>
                <w:szCs w:val="21"/>
                <w:highlight w:val="none"/>
                <w:lang w:val="en-US" w:eastAsia="zh-CN" w:bidi="ar-SA"/>
              </w:rPr>
              <w:t>45# 六房村附近道路右侧距路中心线40m处</w:t>
            </w:r>
            <w:r>
              <w:rPr>
                <w:rFonts w:hint="default" w:ascii="Times New Roman" w:hAnsi="Times New Roman" w:eastAsia="宋体" w:cs="Times New Roman"/>
                <w:b w:val="0"/>
                <w:bCs/>
                <w:color w:val="auto"/>
                <w:kern w:val="2"/>
                <w:sz w:val="21"/>
                <w:szCs w:val="21"/>
                <w:highlight w:val="none"/>
                <w:lang w:val="en-US" w:eastAsia="zh-CN" w:bidi="ar-SA"/>
              </w:rPr>
              <w:fldChar w:fldCharType="end"/>
            </w: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11:00-12:00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1238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12:00-13:00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1273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13:00-14:00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1136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14:00-15:00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1128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15:00-16:00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1265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16:00-17:00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1207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17:00-18:00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1497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18:00-19:00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1566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19:00-20:00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1321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20:00-21:00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832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30</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21:00-22:00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523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22:00-23:00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451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23:00-次日00:00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268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次日00:00-01:00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192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次日01:00-02:00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163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次日02:00-03:00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次日03:00-04:00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次日04:00-05:00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51</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19</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次日05:00-06:00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527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次日06:00-07:00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736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次日07:00-08:00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1078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45</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次日08:00-09:00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1187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47</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次日09:00-10:00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54</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1228</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46</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211" w:type="dxa"/>
            <w:vMerge w:val="continue"/>
            <w:tcBorders>
              <w:tl2br w:val="nil"/>
              <w:tr2bl w:val="nil"/>
            </w:tcBorders>
            <w:noWrap w:val="0"/>
            <w:vAlign w:val="center"/>
          </w:tcPr>
          <w:p>
            <w:pPr>
              <w:pStyle w:val="11"/>
              <w:keepNext w:val="0"/>
              <w:keepLines w:val="0"/>
              <w:pageBreakBefore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44" w:type="dxa"/>
            <w:vMerge w:val="continue"/>
            <w:tcBorders>
              <w:tl2br w:val="nil"/>
              <w:tr2bl w:val="nil"/>
            </w:tcBorders>
            <w:noWrap w:val="0"/>
            <w:vAlign w:val="center"/>
          </w:tcPr>
          <w:p>
            <w:pPr>
              <w:pStyle w:val="11"/>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val="0"/>
                <w:bCs/>
                <w:color w:val="auto"/>
                <w:sz w:val="21"/>
                <w:szCs w:val="21"/>
                <w:highlight w:val="none"/>
              </w:rPr>
            </w:pPr>
          </w:p>
        </w:tc>
        <w:tc>
          <w:tcPr>
            <w:tcW w:w="20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次日10:00-11:00</w:t>
            </w:r>
          </w:p>
        </w:tc>
        <w:tc>
          <w:tcPr>
            <w:tcW w:w="1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53</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1302</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40</w:t>
            </w:r>
          </w:p>
        </w:tc>
        <w:tc>
          <w:tcPr>
            <w:tcW w:w="76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148</w:t>
            </w:r>
          </w:p>
        </w:tc>
      </w:tr>
    </w:tbl>
    <w:p>
      <w:pPr>
        <w:keepNext w:val="0"/>
        <w:keepLines w:val="0"/>
        <w:pageBreakBefore w:val="0"/>
        <w:widowControl/>
        <w:numPr>
          <w:ilvl w:val="0"/>
          <w:numId w:val="7"/>
        </w:numPr>
        <w:kinsoku w:val="0"/>
        <w:wordWrap/>
        <w:overflowPunct/>
        <w:topLinePunct w:val="0"/>
        <w:autoSpaceDE w:val="0"/>
        <w:autoSpaceDN w:val="0"/>
        <w:bidi w:val="0"/>
        <w:adjustRightInd w:val="0"/>
        <w:snapToGrid w:val="0"/>
        <w:spacing w:line="360" w:lineRule="auto"/>
        <w:textAlignment w:val="baseline"/>
        <w:rPr>
          <w:rFonts w:ascii="宋体" w:hAnsi="宋体" w:eastAsia="宋体" w:cs="宋体"/>
          <w:spacing w:val="-7"/>
          <w:sz w:val="24"/>
          <w:szCs w:val="24"/>
        </w:rPr>
      </w:pPr>
      <w:r>
        <w:rPr>
          <w:rFonts w:ascii="宋体" w:hAnsi="宋体" w:eastAsia="宋体" w:cs="宋体"/>
          <w:spacing w:val="-7"/>
          <w:sz w:val="24"/>
          <w:szCs w:val="24"/>
        </w:rPr>
        <w:t>监测结果分析</w:t>
      </w:r>
    </w:p>
    <w:p>
      <w:pPr>
        <w:spacing w:before="79" w:line="219" w:lineRule="auto"/>
        <w:ind w:left="3" w:firstLine="488" w:firstLineChars="200"/>
        <w:outlineLvl w:val="6"/>
        <w:rPr>
          <w:rFonts w:hint="eastAsia" w:ascii="宋体" w:hAnsi="宋体" w:eastAsia="宋体" w:cs="宋体"/>
          <w:spacing w:val="1"/>
          <w:sz w:val="24"/>
          <w:szCs w:val="24"/>
          <w:lang w:val="en-US" w:eastAsia="zh-CN"/>
        </w:rPr>
      </w:pPr>
      <w:r>
        <w:rPr>
          <w:rFonts w:ascii="宋体" w:hAnsi="宋体" w:eastAsia="宋体" w:cs="宋体"/>
          <w:spacing w:val="2"/>
          <w:sz w:val="24"/>
          <w:szCs w:val="24"/>
        </w:rPr>
        <w:t>根据监测结果，绘制24小时交通噪声随时间变化趋</w:t>
      </w:r>
      <w:r>
        <w:rPr>
          <w:rFonts w:ascii="宋体" w:hAnsi="宋体" w:eastAsia="宋体" w:cs="宋体"/>
          <w:spacing w:val="1"/>
          <w:sz w:val="24"/>
          <w:szCs w:val="24"/>
        </w:rPr>
        <w:t>势图</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见图5.2-3</w:t>
      </w:r>
    </w:p>
    <w:p>
      <w:pPr>
        <w:spacing w:before="79" w:line="219" w:lineRule="auto"/>
        <w:ind w:left="3"/>
        <w:outlineLvl w:val="9"/>
      </w:pPr>
      <w:r>
        <w:drawing>
          <wp:inline distT="0" distB="0" distL="114300" distR="114300">
            <wp:extent cx="4836795" cy="2752090"/>
            <wp:effectExtent l="4445" t="5080" r="16510" b="5080"/>
            <wp:docPr id="1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2"/>
        <w:ind w:firstLine="960" w:firstLineChars="400"/>
        <w:jc w:val="both"/>
        <w:rPr>
          <w:rFonts w:hint="eastAsia" w:ascii="Times New Roman" w:hAnsi="Times New Roman" w:eastAsia="宋体" w:cs="Times New Roman"/>
          <w:b w:val="0"/>
          <w:bCs/>
          <w:color w:val="auto"/>
          <w:kern w:val="2"/>
          <w:sz w:val="24"/>
          <w:szCs w:val="24"/>
          <w:highlight w:val="none"/>
          <w:lang w:val="en-US" w:eastAsia="zh-CN" w:bidi="ar-SA"/>
        </w:rPr>
      </w:pPr>
    </w:p>
    <w:p>
      <w:pPr>
        <w:pStyle w:val="2"/>
        <w:ind w:firstLine="960" w:firstLineChars="400"/>
        <w:jc w:val="both"/>
      </w:pPr>
      <w:r>
        <w:rPr>
          <w:rFonts w:hint="eastAsia" w:ascii="Times New Roman" w:hAnsi="Times New Roman" w:eastAsia="宋体" w:cs="Times New Roman"/>
          <w:b w:val="0"/>
          <w:bCs/>
          <w:color w:val="auto"/>
          <w:kern w:val="2"/>
          <w:sz w:val="24"/>
          <w:szCs w:val="24"/>
          <w:highlight w:val="none"/>
          <w:lang w:val="en-US" w:eastAsia="zh-CN" w:bidi="ar-SA"/>
        </w:rPr>
        <w:t>图5.2-3</w:t>
      </w:r>
      <w:r>
        <w:rPr>
          <w:rFonts w:hint="default" w:ascii="Times New Roman" w:hAnsi="Times New Roman" w:eastAsia="宋体" w:cs="Times New Roman"/>
          <w:b w:val="0"/>
          <w:bCs/>
          <w:color w:val="auto"/>
          <w:kern w:val="2"/>
          <w:sz w:val="24"/>
          <w:szCs w:val="24"/>
          <w:highlight w:val="none"/>
          <w:lang w:val="en-US" w:eastAsia="zh-CN" w:bidi="ar-SA"/>
        </w:rPr>
        <w:t>晶泽汐越24h 连续监测交通噪声变化趋势图</w:t>
      </w:r>
    </w:p>
    <w:p>
      <w:pPr>
        <w:pStyle w:val="2"/>
        <w:keepNext w:val="0"/>
        <w:keepLines w:val="0"/>
        <w:pageBreakBefore w:val="0"/>
        <w:widowControl/>
        <w:kinsoku w:val="0"/>
        <w:wordWrap/>
        <w:overflowPunct/>
        <w:topLinePunct w:val="0"/>
        <w:autoSpaceDE w:val="0"/>
        <w:autoSpaceDN w:val="0"/>
        <w:bidi w:val="0"/>
        <w:adjustRightInd w:val="0"/>
        <w:snapToGrid w:val="0"/>
        <w:spacing w:line="240" w:lineRule="atLeast"/>
        <w:jc w:val="both"/>
        <w:textAlignment w:val="baseline"/>
      </w:pPr>
      <w:r>
        <w:drawing>
          <wp:inline distT="0" distB="0" distL="114300" distR="114300">
            <wp:extent cx="4892675" cy="2752725"/>
            <wp:effectExtent l="4445" t="4445" r="17780" b="5080"/>
            <wp:docPr id="1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79" w:line="360" w:lineRule="auto"/>
        <w:ind w:left="3" w:firstLine="720" w:firstLineChars="300"/>
        <w:textAlignment w:val="baseline"/>
        <w:outlineLvl w:val="6"/>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图5.2-4  六房村</w:t>
      </w:r>
      <w:r>
        <w:rPr>
          <w:rFonts w:hint="default" w:ascii="Times New Roman" w:hAnsi="Times New Roman" w:eastAsia="宋体" w:cs="Times New Roman"/>
          <w:b w:val="0"/>
          <w:bCs/>
          <w:color w:val="auto"/>
          <w:kern w:val="2"/>
          <w:sz w:val="24"/>
          <w:szCs w:val="24"/>
          <w:highlight w:val="none"/>
          <w:lang w:val="en-US" w:eastAsia="zh-CN" w:bidi="ar-SA"/>
        </w:rPr>
        <w:t>附近24h 连续监测交通噪声变化趋势图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48" w:firstLineChars="200"/>
        <w:textAlignment w:val="baseline"/>
        <w:rPr>
          <w:rFonts w:hint="eastAsia" w:ascii="宋体" w:hAnsi="宋体" w:eastAsia="宋体" w:cs="宋体"/>
          <w:spacing w:val="-8"/>
          <w:sz w:val="24"/>
          <w:szCs w:val="24"/>
          <w:lang w:val="en-US" w:eastAsia="zh-CN"/>
        </w:rPr>
      </w:pPr>
      <w:r>
        <w:rPr>
          <w:rFonts w:ascii="宋体" w:hAnsi="宋体" w:eastAsia="宋体" w:cs="宋体"/>
          <w:spacing w:val="-8"/>
          <w:sz w:val="24"/>
          <w:szCs w:val="24"/>
        </w:rPr>
        <w:t>根据监测结果，</w:t>
      </w:r>
      <w:r>
        <w:rPr>
          <w:rFonts w:hint="eastAsia" w:ascii="宋体" w:hAnsi="宋体" w:eastAsia="宋体" w:cs="宋体"/>
          <w:spacing w:val="-8"/>
          <w:sz w:val="24"/>
          <w:szCs w:val="24"/>
        </w:rPr>
        <w:t>晶泽汐越</w:t>
      </w:r>
      <w:r>
        <w:rPr>
          <w:rFonts w:ascii="宋体" w:hAnsi="宋体" w:eastAsia="宋体" w:cs="宋体"/>
          <w:spacing w:val="-8"/>
          <w:sz w:val="24"/>
          <w:szCs w:val="24"/>
        </w:rPr>
        <w:t>监测点</w:t>
      </w:r>
      <w:r>
        <w:rPr>
          <w:rFonts w:hint="eastAsia" w:ascii="宋体" w:hAnsi="宋体" w:eastAsia="宋体" w:cs="宋体"/>
          <w:spacing w:val="-8"/>
          <w:sz w:val="24"/>
          <w:szCs w:val="24"/>
          <w:lang w:val="en-US" w:eastAsia="zh-CN"/>
        </w:rPr>
        <w:t>和六房间村监测点</w:t>
      </w:r>
      <w:r>
        <w:rPr>
          <w:rFonts w:ascii="宋体" w:hAnsi="宋体" w:eastAsia="宋体" w:cs="宋体"/>
          <w:spacing w:val="-8"/>
          <w:sz w:val="24"/>
          <w:szCs w:val="24"/>
        </w:rPr>
        <w:t>昼</w:t>
      </w:r>
      <w:r>
        <w:rPr>
          <w:rFonts w:hint="eastAsia" w:ascii="宋体" w:hAnsi="宋体" w:eastAsia="宋体" w:cs="宋体"/>
          <w:spacing w:val="-8"/>
          <w:sz w:val="24"/>
          <w:szCs w:val="24"/>
          <w:lang w:val="en-US" w:eastAsia="zh-CN"/>
        </w:rPr>
        <w:t>夜</w:t>
      </w:r>
      <w:r>
        <w:rPr>
          <w:rFonts w:ascii="宋体" w:hAnsi="宋体" w:eastAsia="宋体" w:cs="宋体"/>
          <w:spacing w:val="-8"/>
          <w:sz w:val="24"/>
          <w:szCs w:val="24"/>
        </w:rPr>
        <w:t>间噪声值均达《声环境质量标准》 (GB3096-2008) 的4a 类标准(即70dB(A)</w:t>
      </w:r>
      <w:r>
        <w:rPr>
          <w:rFonts w:hint="eastAsia" w:ascii="宋体" w:hAnsi="宋体" w:eastAsia="宋体" w:cs="宋体"/>
          <w:spacing w:val="-8"/>
          <w:sz w:val="24"/>
          <w:szCs w:val="24"/>
          <w:lang w:eastAsia="zh-CN"/>
        </w:rPr>
        <w:t>，</w:t>
      </w:r>
      <w:r>
        <w:rPr>
          <w:rFonts w:ascii="宋体" w:hAnsi="宋体" w:eastAsia="宋体" w:cs="宋体"/>
          <w:spacing w:val="-8"/>
          <w:sz w:val="24"/>
          <w:szCs w:val="24"/>
        </w:rPr>
        <w:t>即55dB(A)</w:t>
      </w:r>
      <w:r>
        <w:rPr>
          <w:rFonts w:hint="eastAsia" w:ascii="宋体" w:hAnsi="宋体" w:eastAsia="宋体" w:cs="宋体"/>
          <w:spacing w:val="-8"/>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240" w:firstLineChars="100"/>
        <w:textAlignment w:val="baseline"/>
        <w:outlineLvl w:val="6"/>
        <w:rPr>
          <w:rFonts w:ascii="Arial"/>
          <w:sz w:val="21"/>
        </w:rPr>
      </w:pPr>
      <w:r>
        <w:rPr>
          <w:rFonts w:hint="eastAsia"/>
          <w:b/>
          <w:sz w:val="24"/>
          <w:szCs w:val="18"/>
          <w:lang w:val="en-US" w:eastAsia="zh-CN"/>
        </w:rPr>
        <w:t>5.2.3</w:t>
      </w:r>
      <w:r>
        <w:rPr>
          <w:rFonts w:ascii="宋体" w:hAnsi="宋体" w:eastAsia="宋体" w:cs="宋体"/>
          <w:b/>
          <w:bCs/>
          <w:spacing w:val="-7"/>
          <w:sz w:val="24"/>
          <w:szCs w:val="24"/>
        </w:rPr>
        <w:t>项目采取的噪声污染控制措施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48" w:firstLineChars="200"/>
        <w:textAlignment w:val="baseline"/>
        <w:rPr>
          <w:rFonts w:ascii="宋体" w:hAnsi="宋体" w:eastAsia="宋体" w:cs="宋体"/>
          <w:sz w:val="24"/>
          <w:szCs w:val="24"/>
        </w:rPr>
      </w:pPr>
      <w:r>
        <w:rPr>
          <w:rFonts w:ascii="宋体" w:hAnsi="宋体" w:eastAsia="宋体" w:cs="宋体"/>
          <w:spacing w:val="-8"/>
          <w:sz w:val="24"/>
          <w:szCs w:val="24"/>
        </w:rPr>
        <w:t>为减少交通噪声对沿线区域的影响，项目采取了一系列减缓措施，具体如下：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48" w:firstLineChars="200"/>
        <w:textAlignment w:val="baseline"/>
        <w:rPr>
          <w:rFonts w:ascii="宋体" w:hAnsi="宋体" w:eastAsia="宋体" w:cs="宋体"/>
          <w:spacing w:val="-8"/>
          <w:sz w:val="24"/>
          <w:szCs w:val="24"/>
        </w:rPr>
      </w:pPr>
      <w:r>
        <w:rPr>
          <w:rFonts w:ascii="宋体" w:hAnsi="宋体" w:eastAsia="宋体" w:cs="宋体"/>
          <w:spacing w:val="-8"/>
          <w:sz w:val="24"/>
          <w:szCs w:val="24"/>
        </w:rPr>
        <w:t>(1)加强交通管制，合理设置交通标志、标线，在噪声敏感建筑物集中区和敏</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ascii="宋体" w:hAnsi="宋体" w:eastAsia="宋体" w:cs="宋体"/>
          <w:spacing w:val="-8"/>
          <w:sz w:val="24"/>
          <w:szCs w:val="24"/>
        </w:rPr>
      </w:pPr>
      <w:r>
        <w:rPr>
          <w:rFonts w:ascii="宋体" w:hAnsi="宋体" w:eastAsia="宋体" w:cs="宋体"/>
          <w:spacing w:val="-8"/>
          <w:sz w:val="24"/>
          <w:szCs w:val="24"/>
        </w:rPr>
        <w:t>感时段采取限速</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设置隔声屏障</w:t>
      </w:r>
      <w:r>
        <w:rPr>
          <w:rFonts w:ascii="宋体" w:hAnsi="宋体" w:eastAsia="宋体" w:cs="宋体"/>
          <w:spacing w:val="-8"/>
          <w:sz w:val="24"/>
          <w:szCs w:val="24"/>
        </w:rPr>
        <w:t>等措施，合理提高道路通行能力，降低交通噪声；</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48" w:firstLineChars="200"/>
        <w:textAlignment w:val="baseline"/>
        <w:rPr>
          <w:rFonts w:ascii="宋体" w:hAnsi="宋体" w:eastAsia="宋体" w:cs="宋体"/>
          <w:spacing w:val="-8"/>
          <w:sz w:val="24"/>
          <w:szCs w:val="24"/>
        </w:rPr>
      </w:pPr>
      <w:r>
        <w:rPr>
          <w:rFonts w:ascii="宋体" w:hAnsi="宋体" w:eastAsia="宋体" w:cs="宋体"/>
          <w:spacing w:val="-8"/>
          <w:sz w:val="24"/>
          <w:szCs w:val="24"/>
        </w:rPr>
        <w:t>(2)优化建筑平面布局，合理安排建筑使用功能，尽可能安排面向道路侧房间 作为走廊以及厨房、卫生间等非居住用房，以减少交通噪声干扰，同时安装隔声窗进行隔声防护，降低交通噪声影响。</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5.2.4声环境影响调查结论</w:t>
      </w:r>
    </w:p>
    <w:p>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360" w:lineRule="auto"/>
        <w:ind w:firstLine="460" w:firstLineChars="200"/>
        <w:jc w:val="left"/>
        <w:textAlignment w:val="baseline"/>
        <w:rPr>
          <w:rFonts w:ascii="宋体" w:hAnsi="宋体" w:eastAsia="宋体" w:cs="宋体"/>
          <w:spacing w:val="-5"/>
          <w:sz w:val="24"/>
          <w:szCs w:val="24"/>
        </w:rPr>
      </w:pPr>
      <w:r>
        <w:rPr>
          <w:rFonts w:ascii="宋体" w:hAnsi="宋体" w:eastAsia="宋体" w:cs="宋体"/>
          <w:spacing w:val="-5"/>
          <w:sz w:val="24"/>
          <w:szCs w:val="24"/>
        </w:rPr>
        <w:t>根据调查及现状监测结果，各个声环境敏感点昼间、夜间噪声均达标。</w:t>
      </w:r>
    </w:p>
    <w:p>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360" w:lineRule="auto"/>
        <w:ind w:firstLine="484" w:firstLineChars="200"/>
        <w:jc w:val="left"/>
        <w:textAlignment w:val="baseline"/>
        <w:rPr>
          <w:rFonts w:ascii="宋体" w:hAnsi="宋体" w:eastAsia="宋体" w:cs="宋体"/>
          <w:spacing w:val="-5"/>
          <w:sz w:val="24"/>
          <w:szCs w:val="24"/>
        </w:rPr>
      </w:pPr>
      <w:r>
        <w:rPr>
          <w:rFonts w:ascii="宋体" w:hAnsi="宋体" w:eastAsia="宋体" w:cs="宋体"/>
          <w:spacing w:val="1"/>
          <w:sz w:val="24"/>
          <w:szCs w:val="24"/>
        </w:rPr>
        <w:t>根据声环境现状监测以及现场勘查情况对减缓交通噪声影响提出进</w:t>
      </w:r>
      <w:r>
        <w:rPr>
          <w:rFonts w:ascii="宋体" w:hAnsi="宋体" w:eastAsia="宋体" w:cs="宋体"/>
          <w:sz w:val="24"/>
          <w:szCs w:val="24"/>
        </w:rPr>
        <w:t xml:space="preserve">一步 </w:t>
      </w:r>
      <w:r>
        <w:rPr>
          <w:rFonts w:ascii="宋体" w:hAnsi="宋体" w:eastAsia="宋体" w:cs="宋体"/>
          <w:spacing w:val="-2"/>
          <w:sz w:val="24"/>
          <w:szCs w:val="24"/>
        </w:rPr>
        <w:t>措施建议：道路两侧第一排建筑不宜新建住宅、学校、医院等声环境敏感设施，</w:t>
      </w:r>
      <w:r>
        <w:rPr>
          <w:rFonts w:ascii="宋体" w:hAnsi="宋体" w:eastAsia="宋体" w:cs="宋体"/>
          <w:spacing w:val="6"/>
          <w:sz w:val="24"/>
          <w:szCs w:val="24"/>
        </w:rPr>
        <w:t xml:space="preserve"> </w:t>
      </w:r>
      <w:r>
        <w:rPr>
          <w:rFonts w:ascii="宋体" w:hAnsi="宋体" w:eastAsia="宋体" w:cs="宋体"/>
          <w:spacing w:val="-4"/>
          <w:sz w:val="24"/>
          <w:szCs w:val="24"/>
        </w:rPr>
        <w:t>宜为商业建筑或其它非噪声敏感建筑物，且宜沿道路平行布置，如面向道路建设</w:t>
      </w:r>
      <w:r>
        <w:rPr>
          <w:rFonts w:ascii="宋体" w:hAnsi="宋体" w:eastAsia="宋体" w:cs="宋体"/>
          <w:spacing w:val="-3"/>
          <w:sz w:val="24"/>
          <w:szCs w:val="24"/>
        </w:rPr>
        <w:t>噪声敏感建筑物，应间隔必要的距离；对于邻近道路的噪声敏感建筑物，应合理</w:t>
      </w:r>
      <w:r>
        <w:rPr>
          <w:rFonts w:ascii="宋体" w:hAnsi="宋体" w:eastAsia="宋体" w:cs="宋体"/>
          <w:spacing w:val="2"/>
          <w:sz w:val="24"/>
          <w:szCs w:val="24"/>
        </w:rPr>
        <w:t xml:space="preserve"> </w:t>
      </w:r>
      <w:r>
        <w:rPr>
          <w:rFonts w:ascii="宋体" w:hAnsi="宋体" w:eastAsia="宋体" w:cs="宋体"/>
          <w:spacing w:val="-3"/>
          <w:sz w:val="24"/>
          <w:szCs w:val="24"/>
        </w:rPr>
        <w:t>安排房间使用功能，以减少交通噪声干扰。例如居民住宅在面向道路一侧布置厨</w:t>
      </w:r>
      <w:r>
        <w:rPr>
          <w:rFonts w:ascii="宋体" w:hAnsi="宋体" w:eastAsia="宋体" w:cs="宋体"/>
          <w:spacing w:val="-5"/>
          <w:sz w:val="24"/>
          <w:szCs w:val="24"/>
        </w:rPr>
        <w:t>房、卫生间等非居住用房间。</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default"/>
          <w:b/>
          <w:sz w:val="28"/>
          <w:szCs w:val="20"/>
          <w:lang w:val="en-US" w:eastAsia="zh-CN"/>
        </w:rPr>
      </w:pPr>
      <w:bookmarkStart w:id="72" w:name="_Toc1441"/>
      <w:r>
        <w:rPr>
          <w:rFonts w:hint="eastAsia"/>
          <w:b/>
          <w:sz w:val="28"/>
          <w:szCs w:val="20"/>
          <w:lang w:val="en-US" w:eastAsia="zh-CN"/>
        </w:rPr>
        <w:t>5.3环境空气影响调查与分析</w:t>
      </w:r>
      <w:bookmarkEnd w:id="72"/>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5.3.1施工期环境空气影响与分析</w:t>
      </w:r>
    </w:p>
    <w:p>
      <w:pPr>
        <w:pStyle w:val="3"/>
        <w:keepNext w:val="0"/>
        <w:keepLines w:val="0"/>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根据现场调查，结合本工程实际施工情况，项目施工期环境空气影响主要来源包括施工扬尘和施工机械尾气两个方面。</w:t>
      </w:r>
    </w:p>
    <w:p>
      <w:pPr>
        <w:pStyle w:val="3"/>
        <w:ind w:firstLine="460" w:firstLineChars="200"/>
        <w:rPr>
          <w:rFonts w:hint="eastAsia" w:ascii="宋体" w:hAnsi="宋体" w:eastAsia="宋体" w:cs="宋体"/>
          <w:spacing w:val="-5"/>
          <w:sz w:val="24"/>
          <w:szCs w:val="24"/>
        </w:rPr>
      </w:pPr>
      <w:r>
        <w:rPr>
          <w:rFonts w:hint="eastAsia" w:ascii="宋体" w:hAnsi="宋体" w:eastAsia="宋体" w:cs="宋体"/>
          <w:spacing w:val="-5"/>
          <w:sz w:val="24"/>
          <w:szCs w:val="24"/>
        </w:rPr>
        <w:t>根据实际调查，项目施工期设置有彩钢板围挡，临时堆土场采取了防尘布遮盖措施，并安排有洒水设施，定期对施工区域内采取洒水降尘措施，通过采取上述处理措施后，施工扬尘得到了较好的抑制</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项目所在区域地势开阔，具有良好的扩散条件，且区域环境空气容量较大，施工机械尾气、施工扬尘的无组织排放废气未对区域环境空气质量造成较大影响。</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5.3.2营运期环境空气影响调查与分析</w:t>
      </w:r>
    </w:p>
    <w:p>
      <w:pPr>
        <w:pStyle w:val="3"/>
        <w:keepNext w:val="0"/>
        <w:keepLines w:val="0"/>
        <w:pageBreakBefore w:val="0"/>
        <w:widowControl/>
        <w:kinsoku w:val="0"/>
        <w:wordWrap/>
        <w:overflowPunct/>
        <w:topLinePunct w:val="0"/>
        <w:autoSpaceDE w:val="0"/>
        <w:autoSpaceDN w:val="0"/>
        <w:bidi w:val="0"/>
        <w:adjustRightInd w:val="0"/>
        <w:snapToGrid w:val="0"/>
        <w:spacing w:after="0"/>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w:t>
      </w:r>
      <w:r>
        <w:rPr>
          <w:rFonts w:hint="eastAsia" w:ascii="宋体" w:hAnsi="宋体" w:eastAsia="宋体" w:cs="宋体"/>
          <w:sz w:val="24"/>
          <w:szCs w:val="24"/>
        </w:rPr>
        <w:t>《建设项目竣工环境保护验收技术规范</w:t>
      </w:r>
      <w:r>
        <w:rPr>
          <w:rFonts w:hint="eastAsia" w:ascii="宋体" w:hAnsi="宋体" w:eastAsia="宋体" w:cs="宋体"/>
          <w:sz w:val="24"/>
          <w:szCs w:val="24"/>
        </w:rPr>
        <w:tab/>
      </w:r>
      <w:r>
        <w:rPr>
          <w:rFonts w:hint="eastAsia" w:ascii="宋体" w:hAnsi="宋体" w:eastAsia="宋体" w:cs="宋体"/>
          <w:sz w:val="24"/>
          <w:szCs w:val="24"/>
        </w:rPr>
        <w:t>公路》（HJ552-2010）</w:t>
      </w:r>
      <w:r>
        <w:rPr>
          <w:rFonts w:hint="eastAsia" w:ascii="宋体" w:hAnsi="宋体" w:eastAsia="宋体" w:cs="宋体"/>
          <w:sz w:val="24"/>
          <w:szCs w:val="24"/>
          <w:lang w:val="en-US" w:eastAsia="zh-CN"/>
        </w:rPr>
        <w:t>第6.6.2.1条规定，环境空气污染调查监测布点规则如下：</w:t>
      </w:r>
    </w:p>
    <w:p>
      <w:pPr>
        <w:pStyle w:val="3"/>
        <w:keepNext w:val="0"/>
        <w:keepLines w:val="0"/>
        <w:pageBreakBefore w:val="0"/>
        <w:widowControl/>
        <w:kinsoku w:val="0"/>
        <w:wordWrap/>
        <w:overflowPunct/>
        <w:topLinePunct w:val="0"/>
        <w:autoSpaceDE w:val="0"/>
        <w:autoSpaceDN w:val="0"/>
        <w:bidi w:val="0"/>
        <w:adjustRightInd w:val="0"/>
        <w:snapToGrid w:val="0"/>
        <w:spacing w:after="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lang w:val="en-US" w:eastAsia="zh-CN"/>
        </w:rPr>
        <w:t>①</w:t>
      </w:r>
      <w:r>
        <w:rPr>
          <w:rFonts w:hint="eastAsia" w:ascii="宋体" w:hAnsi="宋体" w:eastAsia="宋体" w:cs="宋体"/>
          <w:spacing w:val="-5"/>
          <w:sz w:val="24"/>
          <w:szCs w:val="24"/>
        </w:rPr>
        <w:t>隧道出口100m以内的村庄应布设监测点</w:t>
      </w:r>
    </w:p>
    <w:p>
      <w:pPr>
        <w:pStyle w:val="3"/>
        <w:keepNext w:val="0"/>
        <w:keepLines w:val="0"/>
        <w:pageBreakBefore w:val="0"/>
        <w:widowControl/>
        <w:kinsoku w:val="0"/>
        <w:wordWrap/>
        <w:overflowPunct/>
        <w:topLinePunct w:val="0"/>
        <w:autoSpaceDE w:val="0"/>
        <w:autoSpaceDN w:val="0"/>
        <w:bidi w:val="0"/>
        <w:adjustRightInd w:val="0"/>
        <w:snapToGrid w:val="0"/>
        <w:spacing w:after="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lang w:val="en-US" w:eastAsia="zh-CN"/>
        </w:rPr>
        <w:t>②</w:t>
      </w:r>
      <w:r>
        <w:rPr>
          <w:rFonts w:hint="eastAsia" w:ascii="宋体" w:hAnsi="宋体" w:eastAsia="宋体" w:cs="宋体"/>
          <w:spacing w:val="-5"/>
          <w:sz w:val="24"/>
          <w:szCs w:val="24"/>
        </w:rPr>
        <w:t>长大隧道的竖井出口处100m以内的村庄应布设监测点</w:t>
      </w:r>
    </w:p>
    <w:p>
      <w:pPr>
        <w:pStyle w:val="3"/>
        <w:keepNext w:val="0"/>
        <w:keepLines w:val="0"/>
        <w:pageBreakBefore w:val="0"/>
        <w:widowControl/>
        <w:kinsoku w:val="0"/>
        <w:wordWrap/>
        <w:overflowPunct/>
        <w:topLinePunct w:val="0"/>
        <w:autoSpaceDE w:val="0"/>
        <w:autoSpaceDN w:val="0"/>
        <w:bidi w:val="0"/>
        <w:adjustRightInd w:val="0"/>
        <w:snapToGrid w:val="0"/>
        <w:spacing w:after="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lang w:val="en-US" w:eastAsia="zh-CN"/>
        </w:rPr>
        <w:t>③</w:t>
      </w:r>
      <w:r>
        <w:rPr>
          <w:rFonts w:hint="eastAsia" w:ascii="宋体" w:hAnsi="宋体" w:eastAsia="宋体" w:cs="宋体"/>
          <w:spacing w:val="-5"/>
          <w:sz w:val="24"/>
          <w:szCs w:val="24"/>
        </w:rPr>
        <w:t>绝对车流超过5万辆/</w:t>
      </w:r>
      <w:r>
        <w:rPr>
          <w:rFonts w:hint="eastAsia" w:ascii="宋体" w:hAnsi="宋体" w:eastAsia="宋体" w:cs="宋体"/>
          <w:spacing w:val="-5"/>
          <w:sz w:val="24"/>
          <w:szCs w:val="24"/>
          <w:lang w:val="en-US" w:eastAsia="zh-CN"/>
        </w:rPr>
        <w:t>天</w:t>
      </w:r>
      <w:r>
        <w:rPr>
          <w:rFonts w:hint="eastAsia" w:ascii="宋体" w:hAnsi="宋体" w:eastAsia="宋体" w:cs="宋体"/>
          <w:spacing w:val="-5"/>
          <w:sz w:val="24"/>
          <w:szCs w:val="24"/>
        </w:rPr>
        <w:t>的路段应布监测点</w:t>
      </w:r>
    </w:p>
    <w:p>
      <w:pPr>
        <w:pStyle w:val="3"/>
        <w:keepNext w:val="0"/>
        <w:keepLines w:val="0"/>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根据现场调查，本项目无隧道且车流量未达到</w:t>
      </w:r>
      <w:r>
        <w:rPr>
          <w:rFonts w:hint="eastAsia" w:ascii="宋体" w:hAnsi="宋体" w:eastAsia="宋体" w:cs="宋体"/>
          <w:spacing w:val="-5"/>
          <w:sz w:val="24"/>
          <w:szCs w:val="24"/>
        </w:rPr>
        <w:t>5万辆/</w:t>
      </w:r>
      <w:r>
        <w:rPr>
          <w:rFonts w:hint="eastAsia" w:ascii="宋体" w:hAnsi="宋体" w:eastAsia="宋体" w:cs="宋体"/>
          <w:spacing w:val="-5"/>
          <w:sz w:val="24"/>
          <w:szCs w:val="24"/>
          <w:lang w:val="en-US" w:eastAsia="zh-CN"/>
        </w:rPr>
        <w:t>天，本项目未进行环境空气监测。</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项目建成营运后，其道路本身无大气污染物产生，环境空气污染物主要来源是道路上行驶的汽车无组织排放的尾气以及引起的道路扬尘</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由于加强了交通管理，规定车速范围，保持车流畅通</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路面及时清扫，本项目营运期机动车尾气对对周围的环境及道路两侧的敏感点未产生明显不良影响。</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lang w:val="en-US" w:eastAsia="zh-CN"/>
        </w:rPr>
      </w:pPr>
      <w:bookmarkStart w:id="73" w:name="_Toc18511"/>
      <w:r>
        <w:rPr>
          <w:rFonts w:hint="eastAsia"/>
          <w:b/>
          <w:sz w:val="28"/>
          <w:szCs w:val="20"/>
          <w:lang w:val="en-US" w:eastAsia="zh-CN"/>
        </w:rPr>
        <w:t>5.4地表水环境影响调查与分析</w:t>
      </w:r>
      <w:bookmarkEnd w:id="73"/>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5.4.1施工期地表水环境影响调查与分析</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根据现场调查，项目施工期地表水主要影响来源于施工人员废水对地表水体的影响。</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根据实际调查，</w:t>
      </w:r>
      <w:r>
        <w:rPr>
          <w:rFonts w:hint="eastAsia" w:ascii="宋体" w:hAnsi="宋体" w:eastAsia="宋体" w:cs="宋体"/>
          <w:spacing w:val="-5"/>
          <w:sz w:val="24"/>
          <w:szCs w:val="24"/>
          <w:lang w:val="en-US" w:eastAsia="zh-CN"/>
        </w:rPr>
        <w:t>项目施工废水能够做到资源化利用不外排。租用郊区段民房的施工人员生活废水经所租用民房的沼气池处理后，用于当地农业施肥。租用城区段民房的施工人员生活废水经所租用民房化粪池处理后，经市政污水管道排入当地城市生活污水处理厂进行最终处理，实现达标排放</w:t>
      </w:r>
      <w:r>
        <w:rPr>
          <w:rFonts w:hint="eastAsia" w:ascii="宋体" w:hAnsi="宋体" w:eastAsia="宋体" w:cs="宋体"/>
          <w:spacing w:val="-5"/>
          <w:sz w:val="24"/>
          <w:szCs w:val="24"/>
        </w:rPr>
        <w:t>，对区域地表水体产生影响。</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5.4.2营运期地表水环境影调查与分析</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项目建成营运期，其本身不会对地表水体产生影响，项目营运期地表水影响主要来源于降雨形成的路面径流，以及路面径流携带的路面石油类污染物。</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根据实际调查，本工程设计建设有路面雨水排水管道，路面径流经雨水收集口收集，通过排水管道汇入河沟。因此，项目营运期不会对区域地表水水体产生较大影响。</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lang w:val="en-US" w:eastAsia="zh-CN"/>
        </w:rPr>
      </w:pPr>
      <w:bookmarkStart w:id="74" w:name="_Toc5250"/>
      <w:r>
        <w:rPr>
          <w:rFonts w:hint="eastAsia"/>
          <w:b/>
          <w:sz w:val="28"/>
          <w:szCs w:val="20"/>
          <w:lang w:val="en-US" w:eastAsia="zh-CN"/>
        </w:rPr>
        <w:t>5.5固体废物环境影响调查与分析</w:t>
      </w:r>
      <w:bookmarkEnd w:id="74"/>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default"/>
          <w:b/>
          <w:sz w:val="24"/>
          <w:szCs w:val="18"/>
          <w:lang w:val="en-US" w:eastAsia="zh-CN"/>
        </w:rPr>
      </w:pPr>
      <w:r>
        <w:rPr>
          <w:rFonts w:hint="eastAsia"/>
          <w:b/>
          <w:sz w:val="24"/>
          <w:szCs w:val="18"/>
          <w:lang w:val="en-US" w:eastAsia="zh-CN"/>
        </w:rPr>
        <w:t>5.5.1施工期固体废物环境影响调查与分析</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项目施工期固体废弃物主要包括废砂石料、弃土、废建筑材料及施工人员生活垃圾等等。根据现场调查，项目废砂石料、弃土等经过妥善收集后，运往指定弃土场堆放:对废建筑材料采取了综合利用措施:施工人员生活垃圾依托附近居民区的垃圾收集设施收集处理。项目区域内未见施工期遗留环境问题，项目施工期产生的固体废物去向明确，均得到了妥善处置。</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5.5.2营运期固体物环境影响调查与分析</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项目营运期固体废物主要来源为交通垃圾、以及道路配套设施维修产生的固体废物等。</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lang w:eastAsia="zh-CN"/>
        </w:rPr>
      </w:pPr>
      <w:r>
        <w:rPr>
          <w:rFonts w:hint="eastAsia" w:ascii="宋体" w:hAnsi="宋体" w:eastAsia="宋体" w:cs="宋体"/>
          <w:spacing w:val="-5"/>
          <w:sz w:val="24"/>
          <w:szCs w:val="24"/>
        </w:rPr>
        <w:t>根据实际调查，项目营运期产生的交通垃圾，运营期过往车辆和路人产生的生活垃圾，每天定时由环卫部门清扫，运至城市垃圾场填埋处理，不会对造成二次污染</w:t>
      </w:r>
      <w:r>
        <w:rPr>
          <w:rFonts w:hint="eastAsia" w:ascii="宋体" w:hAnsi="宋体" w:eastAsia="宋体" w:cs="宋体"/>
          <w:spacing w:val="-5"/>
          <w:sz w:val="24"/>
          <w:szCs w:val="24"/>
          <w:lang w:eastAsia="zh-CN"/>
        </w:rPr>
        <w:t>。</w:t>
      </w:r>
    </w:p>
    <w:p>
      <w:pPr>
        <w:pStyle w:val="5"/>
        <w:keepNext/>
        <w:keepLines/>
        <w:pageBreakBefore w:val="0"/>
        <w:widowControl/>
        <w:kinsoku w:val="0"/>
        <w:wordWrap/>
        <w:overflowPunct/>
        <w:topLinePunct w:val="0"/>
        <w:autoSpaceDE w:val="0"/>
        <w:autoSpaceDN w:val="0"/>
        <w:bidi w:val="0"/>
        <w:adjustRightInd w:val="0"/>
        <w:snapToGrid w:val="0"/>
        <w:spacing w:before="0" w:after="0" w:line="360" w:lineRule="auto"/>
        <w:textAlignment w:val="baseline"/>
        <w:rPr>
          <w:rFonts w:hint="eastAsia"/>
          <w:lang w:val="en-US" w:eastAsia="zh-CN"/>
        </w:rPr>
      </w:pPr>
      <w:bookmarkStart w:id="75" w:name="_Toc30057"/>
      <w:r>
        <w:rPr>
          <w:rFonts w:hint="eastAsia"/>
          <w:lang w:val="en-US" w:eastAsia="zh-CN"/>
        </w:rPr>
        <w:t>5.6总量污染物</w:t>
      </w:r>
      <w:bookmarkEnd w:id="75"/>
    </w:p>
    <w:p>
      <w:pPr>
        <w:pStyle w:val="3"/>
        <w:pageBreakBefore w:val="0"/>
        <w:widowControl/>
        <w:kinsoku w:val="0"/>
        <w:wordWrap/>
        <w:overflowPunct/>
        <w:topLinePunct w:val="0"/>
        <w:autoSpaceDE w:val="0"/>
        <w:autoSpaceDN w:val="0"/>
        <w:bidi w:val="0"/>
        <w:adjustRightInd w:val="0"/>
        <w:snapToGrid w:val="0"/>
        <w:spacing w:after="0"/>
        <w:ind w:firstLine="480" w:firstLineChars="200"/>
        <w:textAlignment w:val="baseline"/>
        <w:rPr>
          <w:rFonts w:hint="eastAsia" w:ascii="宋体" w:hAnsi="宋体" w:eastAsia="宋体" w:cs="宋体"/>
          <w:spacing w:val="-5"/>
          <w:sz w:val="24"/>
          <w:szCs w:val="24"/>
          <w:lang w:val="en-US" w:eastAsia="zh-CN"/>
        </w:rPr>
      </w:pPr>
      <w:r>
        <w:rPr>
          <w:rFonts w:hint="default" w:ascii="Times New Roman" w:hAnsi="Times New Roman" w:cs="Times New Roman"/>
          <w:color w:val="auto"/>
          <w:sz w:val="24"/>
          <w:lang w:val="en-US" w:eastAsia="zh-CN"/>
        </w:rPr>
        <w:t>本项目为</w:t>
      </w:r>
      <w:r>
        <w:rPr>
          <w:rFonts w:hint="eastAsia"/>
          <w:color w:val="auto"/>
          <w:sz w:val="24"/>
          <w:szCs w:val="24"/>
        </w:rPr>
        <w:t>城市</w:t>
      </w:r>
      <w:r>
        <w:rPr>
          <w:rFonts w:hint="eastAsia"/>
          <w:color w:val="auto"/>
          <w:sz w:val="24"/>
          <w:szCs w:val="24"/>
          <w:lang w:val="en-US" w:eastAsia="zh-CN"/>
        </w:rPr>
        <w:t>主干道建设项目，属于</w:t>
      </w:r>
      <w:r>
        <w:rPr>
          <w:rFonts w:hint="default" w:ascii="Times New Roman" w:hAnsi="Times New Roman" w:cs="Times New Roman"/>
          <w:color w:val="auto"/>
          <w:sz w:val="24"/>
          <w:lang w:val="en-US" w:eastAsia="zh-CN"/>
        </w:rPr>
        <w:t>非污染影响类生态类项目，</w:t>
      </w:r>
      <w:r>
        <w:rPr>
          <w:rFonts w:hint="eastAsia" w:ascii="Times New Roman" w:hAnsi="Times New Roman" w:cs="Times New Roman"/>
          <w:color w:val="auto"/>
          <w:sz w:val="24"/>
          <w:lang w:val="en-US" w:eastAsia="zh-CN"/>
        </w:rPr>
        <w:t>营运期污染物主要为汽车尾气及交通噪声，</w:t>
      </w:r>
      <w:r>
        <w:rPr>
          <w:rFonts w:hint="eastAsia" w:ascii="Times New Roman" w:hAnsi="Times New Roman" w:eastAsia="宋体" w:cs="Times New Roman"/>
          <w:color w:val="auto"/>
          <w:sz w:val="24"/>
          <w:szCs w:val="24"/>
          <w:lang w:val="en-US" w:eastAsia="zh-CN"/>
        </w:rPr>
        <w:t>根据项目环评报告表级批复，本</w:t>
      </w:r>
      <w:r>
        <w:rPr>
          <w:rFonts w:hint="eastAsia" w:ascii="Times New Roman" w:hAnsi="Times New Roman" w:cs="Times New Roman"/>
          <w:color w:val="auto"/>
          <w:sz w:val="24"/>
          <w:lang w:val="en-US" w:eastAsia="zh-CN"/>
        </w:rPr>
        <w:t>项目</w:t>
      </w:r>
      <w:r>
        <w:rPr>
          <w:rFonts w:hint="default" w:ascii="Times New Roman" w:hAnsi="Times New Roman" w:cs="Times New Roman"/>
          <w:color w:val="auto"/>
          <w:sz w:val="24"/>
        </w:rPr>
        <w:t>不设</w:t>
      </w:r>
      <w:r>
        <w:rPr>
          <w:rFonts w:hint="eastAsia" w:ascii="Times New Roman" w:hAnsi="Times New Roman" w:cs="Times New Roman"/>
          <w:color w:val="auto"/>
          <w:sz w:val="24"/>
          <w:lang w:val="en-US" w:eastAsia="zh-CN"/>
        </w:rPr>
        <w:t>置</w:t>
      </w:r>
      <w:r>
        <w:rPr>
          <w:rFonts w:hint="default" w:ascii="Times New Roman" w:hAnsi="Times New Roman" w:cs="Times New Roman"/>
          <w:color w:val="auto"/>
          <w:sz w:val="24"/>
        </w:rPr>
        <w:t>总量控制指标</w:t>
      </w:r>
      <w:r>
        <w:rPr>
          <w:rFonts w:hint="eastAsia" w:ascii="Times New Roman" w:hAnsi="Times New Roman" w:eastAsia="宋体" w:cs="Times New Roman"/>
          <w:color w:val="auto"/>
          <w:sz w:val="24"/>
          <w:lang w:eastAsia="zh-CN"/>
        </w:rPr>
        <w:t>。</w:t>
      </w:r>
    </w:p>
    <w:p>
      <w:pPr>
        <w:pStyle w:val="3"/>
        <w:rPr>
          <w:rFonts w:hint="eastAsia" w:ascii="宋体" w:hAnsi="宋体" w:eastAsia="宋体" w:cs="宋体"/>
          <w:spacing w:val="-5"/>
          <w:sz w:val="24"/>
          <w:szCs w:val="24"/>
          <w:lang w:eastAsia="zh-CN"/>
        </w:rPr>
      </w:pPr>
    </w:p>
    <w:p>
      <w:pPr>
        <w:pStyle w:val="3"/>
        <w:rPr>
          <w:rFonts w:hint="eastAsia" w:ascii="宋体" w:hAnsi="宋体" w:eastAsia="宋体" w:cs="宋体"/>
          <w:spacing w:val="-5"/>
          <w:sz w:val="24"/>
          <w:szCs w:val="24"/>
          <w:lang w:eastAsia="zh-CN"/>
        </w:rPr>
        <w:sectPr>
          <w:headerReference r:id="rId13" w:type="default"/>
          <w:footerReference r:id="rId14" w:type="default"/>
          <w:pgSz w:w="11900" w:h="16840"/>
          <w:pgMar w:top="1056" w:right="1770" w:bottom="1345" w:left="1760" w:header="876" w:footer="1196" w:gutter="0"/>
          <w:pgNumType w:fmt="decimal"/>
          <w:cols w:space="720" w:num="1"/>
        </w:sectPr>
      </w:pPr>
    </w:p>
    <w:p>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32"/>
          <w:szCs w:val="16"/>
        </w:rPr>
      </w:pPr>
      <w:bookmarkStart w:id="76" w:name="_Toc15268"/>
      <w:r>
        <w:rPr>
          <w:rFonts w:hint="eastAsia"/>
          <w:b/>
          <w:sz w:val="32"/>
          <w:szCs w:val="16"/>
          <w:lang w:val="en-US" w:eastAsia="zh-CN"/>
        </w:rPr>
        <w:t xml:space="preserve">第六章  </w:t>
      </w:r>
      <w:r>
        <w:rPr>
          <w:rFonts w:hint="eastAsia"/>
          <w:b/>
          <w:sz w:val="32"/>
          <w:szCs w:val="16"/>
        </w:rPr>
        <w:t>环境管理与监控情况调查</w:t>
      </w:r>
      <w:bookmarkEnd w:id="76"/>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lang w:val="en-US" w:eastAsia="zh-CN"/>
        </w:rPr>
      </w:pPr>
      <w:bookmarkStart w:id="77" w:name="_Toc16847"/>
      <w:r>
        <w:rPr>
          <w:rFonts w:hint="eastAsia"/>
          <w:b/>
          <w:sz w:val="28"/>
          <w:szCs w:val="20"/>
          <w:lang w:val="en-US" w:eastAsia="zh-CN"/>
        </w:rPr>
        <w:t>6.1 “三同时”执行情况调查</w:t>
      </w:r>
      <w:bookmarkEnd w:id="77"/>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20</w:t>
      </w:r>
      <w:r>
        <w:rPr>
          <w:rFonts w:hint="eastAsia" w:ascii="宋体" w:hAnsi="宋体" w:eastAsia="宋体" w:cs="宋体"/>
          <w:spacing w:val="-5"/>
          <w:sz w:val="24"/>
          <w:szCs w:val="24"/>
          <w:lang w:val="en-US" w:eastAsia="zh-CN"/>
        </w:rPr>
        <w:t>18</w:t>
      </w:r>
      <w:r>
        <w:rPr>
          <w:rFonts w:hint="eastAsia" w:ascii="宋体" w:hAnsi="宋体" w:eastAsia="宋体" w:cs="宋体"/>
          <w:spacing w:val="-5"/>
          <w:sz w:val="24"/>
          <w:szCs w:val="24"/>
        </w:rPr>
        <w:t>年0</w:t>
      </w:r>
      <w:r>
        <w:rPr>
          <w:rFonts w:hint="eastAsia" w:ascii="宋体" w:hAnsi="宋体" w:eastAsia="宋体" w:cs="宋体"/>
          <w:spacing w:val="-5"/>
          <w:sz w:val="24"/>
          <w:szCs w:val="24"/>
          <w:lang w:val="en-US" w:eastAsia="zh-CN"/>
        </w:rPr>
        <w:t>1</w:t>
      </w:r>
      <w:r>
        <w:rPr>
          <w:rFonts w:hint="eastAsia" w:ascii="宋体" w:hAnsi="宋体" w:eastAsia="宋体" w:cs="宋体"/>
          <w:spacing w:val="-5"/>
          <w:sz w:val="24"/>
          <w:szCs w:val="24"/>
        </w:rPr>
        <w:t>月，自贡市城市建设投资开发集团有限公司委托宇寰环保科技（上海）有限公司</w:t>
      </w:r>
      <w:r>
        <w:rPr>
          <w:rFonts w:hint="eastAsia" w:ascii="宋体" w:hAnsi="宋体" w:eastAsia="宋体" w:cs="宋体"/>
          <w:spacing w:val="-5"/>
          <w:sz w:val="24"/>
          <w:szCs w:val="24"/>
          <w:lang w:val="en-US" w:eastAsia="zh-CN"/>
        </w:rPr>
        <w:t>编制</w:t>
      </w:r>
      <w:r>
        <w:rPr>
          <w:rFonts w:hint="eastAsia" w:ascii="宋体" w:hAnsi="宋体" w:eastAsia="宋体" w:cs="宋体"/>
          <w:spacing w:val="-5"/>
          <w:sz w:val="24"/>
          <w:szCs w:val="24"/>
        </w:rPr>
        <w:t>完成了《</w:t>
      </w:r>
      <w:r>
        <w:rPr>
          <w:rFonts w:hint="eastAsia" w:ascii="宋体" w:hAnsi="宋体" w:eastAsia="宋体" w:cs="宋体"/>
          <w:spacing w:val="-5"/>
          <w:sz w:val="24"/>
          <w:szCs w:val="24"/>
          <w:lang w:eastAsia="zh-CN"/>
        </w:rPr>
        <w:t>自贡市富荣产城融合带基础设施建设项目（C、D段）</w:t>
      </w:r>
      <w:r>
        <w:rPr>
          <w:rFonts w:hint="eastAsia" w:ascii="宋体" w:hAnsi="宋体" w:eastAsia="宋体" w:cs="宋体"/>
          <w:spacing w:val="-5"/>
          <w:sz w:val="24"/>
          <w:szCs w:val="24"/>
        </w:rPr>
        <w:t>环境影响</w:t>
      </w:r>
      <w:r>
        <w:rPr>
          <w:rFonts w:hint="eastAsia" w:ascii="宋体" w:hAnsi="宋体" w:eastAsia="宋体" w:cs="宋体"/>
          <w:spacing w:val="-5"/>
          <w:sz w:val="24"/>
          <w:szCs w:val="24"/>
          <w:lang w:eastAsia="zh-CN"/>
        </w:rPr>
        <w:t>报告表</w:t>
      </w:r>
      <w:r>
        <w:rPr>
          <w:rFonts w:hint="eastAsia" w:ascii="宋体" w:hAnsi="宋体" w:eastAsia="宋体" w:cs="宋体"/>
          <w:spacing w:val="-5"/>
          <w:sz w:val="24"/>
          <w:szCs w:val="24"/>
        </w:rPr>
        <w:t>》</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20</w:t>
      </w:r>
      <w:r>
        <w:rPr>
          <w:rFonts w:hint="eastAsia" w:ascii="宋体" w:hAnsi="宋体" w:eastAsia="宋体" w:cs="宋体"/>
          <w:spacing w:val="-5"/>
          <w:sz w:val="24"/>
          <w:szCs w:val="24"/>
          <w:lang w:val="en-US" w:eastAsia="zh-CN"/>
        </w:rPr>
        <w:t>18</w:t>
      </w:r>
      <w:r>
        <w:rPr>
          <w:rFonts w:hint="eastAsia" w:ascii="宋体" w:hAnsi="宋体" w:eastAsia="宋体" w:cs="宋体"/>
          <w:spacing w:val="-5"/>
          <w:sz w:val="24"/>
          <w:szCs w:val="24"/>
        </w:rPr>
        <w:t>年0</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rPr>
        <w:t>月</w:t>
      </w:r>
      <w:r>
        <w:rPr>
          <w:rFonts w:hint="eastAsia" w:ascii="宋体" w:hAnsi="宋体" w:eastAsia="宋体" w:cs="宋体"/>
          <w:spacing w:val="-5"/>
          <w:sz w:val="24"/>
          <w:szCs w:val="24"/>
          <w:lang w:val="en-US" w:eastAsia="zh-CN"/>
        </w:rPr>
        <w:t>9日自贡市环境保护局</w:t>
      </w:r>
      <w:r>
        <w:rPr>
          <w:rFonts w:hint="eastAsia" w:ascii="宋体" w:hAnsi="宋体" w:eastAsia="宋体" w:cs="宋体"/>
          <w:spacing w:val="-5"/>
          <w:sz w:val="24"/>
          <w:szCs w:val="24"/>
        </w:rPr>
        <w:t>以自环准许[2018</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8号文</w:t>
      </w:r>
      <w:r>
        <w:rPr>
          <w:rFonts w:hint="eastAsia" w:ascii="宋体" w:hAnsi="宋体" w:eastAsia="宋体" w:cs="宋体"/>
          <w:spacing w:val="-5"/>
          <w:sz w:val="24"/>
          <w:szCs w:val="24"/>
          <w:lang w:val="en-US" w:eastAsia="zh-CN"/>
        </w:rPr>
        <w:t>出具了该项目准予行政许可书</w:t>
      </w:r>
      <w:r>
        <w:rPr>
          <w:rFonts w:hint="eastAsia" w:ascii="宋体" w:hAnsi="宋体" w:eastAsia="宋体" w:cs="宋体"/>
          <w:spacing w:val="-5"/>
          <w:sz w:val="24"/>
          <w:szCs w:val="24"/>
        </w:rPr>
        <w:t>。</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在工程</w:t>
      </w:r>
      <w:r>
        <w:rPr>
          <w:rFonts w:hint="eastAsia" w:ascii="宋体" w:hAnsi="宋体" w:eastAsia="宋体" w:cs="宋体"/>
          <w:spacing w:val="-5"/>
          <w:sz w:val="24"/>
          <w:szCs w:val="24"/>
          <w:lang w:val="en-US" w:eastAsia="zh-CN"/>
        </w:rPr>
        <w:t>设计施工</w:t>
      </w:r>
      <w:r>
        <w:rPr>
          <w:rFonts w:hint="eastAsia" w:ascii="宋体" w:hAnsi="宋体" w:eastAsia="宋体" w:cs="宋体"/>
          <w:spacing w:val="-5"/>
          <w:sz w:val="24"/>
          <w:szCs w:val="24"/>
        </w:rPr>
        <w:t>中，</w:t>
      </w:r>
      <w:r>
        <w:rPr>
          <w:rFonts w:hint="eastAsia" w:ascii="宋体" w:hAnsi="宋体" w:eastAsia="宋体" w:cs="宋体"/>
          <w:spacing w:val="-5"/>
          <w:sz w:val="24"/>
          <w:szCs w:val="24"/>
          <w:lang w:val="en-US" w:eastAsia="zh-CN"/>
        </w:rPr>
        <w:t>设计施工</w:t>
      </w:r>
      <w:r>
        <w:rPr>
          <w:rFonts w:hint="eastAsia" w:ascii="宋体" w:hAnsi="宋体" w:eastAsia="宋体" w:cs="宋体"/>
          <w:spacing w:val="-5"/>
          <w:sz w:val="24"/>
          <w:szCs w:val="24"/>
        </w:rPr>
        <w:t>单位院根据环评报告及批复文件提出的环保措施，充分考虑如生态环境保护、噪声影响、社会环境影响以及大气环境影响等环保问题，并</w:t>
      </w:r>
      <w:r>
        <w:rPr>
          <w:rFonts w:hint="eastAsia" w:ascii="宋体" w:hAnsi="宋体" w:eastAsia="宋体" w:cs="宋体"/>
          <w:spacing w:val="-5"/>
          <w:sz w:val="24"/>
          <w:szCs w:val="24"/>
          <w:lang w:val="en-US" w:eastAsia="zh-CN"/>
        </w:rPr>
        <w:t>采取了相应措施</w:t>
      </w:r>
      <w:r>
        <w:rPr>
          <w:rFonts w:hint="eastAsia" w:ascii="宋体" w:hAnsi="宋体" w:eastAsia="宋体" w:cs="宋体"/>
          <w:spacing w:val="-5"/>
          <w:sz w:val="24"/>
          <w:szCs w:val="24"/>
        </w:rPr>
        <w:t>。</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经现场调查及调阅施工期档案材料，工程在施工期及试运营期基本能够按照 环评文件及批复要求，落实各项环保措施，道路工程建设对未对周边环境造成污染。</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ascii="Arial"/>
          <w:sz w:val="21"/>
        </w:rPr>
      </w:pPr>
      <w:r>
        <w:rPr>
          <w:rFonts w:hint="eastAsia" w:ascii="宋体" w:hAnsi="宋体" w:eastAsia="宋体" w:cs="宋体"/>
          <w:spacing w:val="-5"/>
          <w:sz w:val="24"/>
          <w:szCs w:val="24"/>
        </w:rPr>
        <w:t>综上所述，建设单位在工程建设期间较好地执行了建设项目环境保护“三同时"制度。</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lang w:val="en-US" w:eastAsia="zh-CN"/>
        </w:rPr>
      </w:pPr>
      <w:bookmarkStart w:id="78" w:name="_Toc10665"/>
      <w:r>
        <w:rPr>
          <w:rFonts w:hint="eastAsia"/>
          <w:b/>
          <w:sz w:val="28"/>
          <w:szCs w:val="20"/>
          <w:lang w:val="en-US" w:eastAsia="zh-CN"/>
        </w:rPr>
        <w:t>6.2 环境管理机构状况查</w:t>
      </w:r>
      <w:bookmarkEnd w:id="78"/>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b/>
          <w:sz w:val="28"/>
          <w:szCs w:val="20"/>
          <w:lang w:val="en-US" w:eastAsia="zh-CN"/>
        </w:rPr>
      </w:pPr>
      <w:r>
        <w:rPr>
          <w:rFonts w:hint="eastAsia" w:ascii="宋体" w:hAnsi="宋体" w:eastAsia="宋体" w:cs="宋体"/>
          <w:spacing w:val="-5"/>
          <w:sz w:val="24"/>
          <w:szCs w:val="24"/>
          <w:lang w:val="en-US" w:eastAsia="zh-CN"/>
        </w:rPr>
        <w:t>为贯彻落实《建设项目环境保护管理条例》，加强本项目的环境保护工作的领导和管理，建设单位按照环评报告表中的要求成立了“环保领导小组”，负责协调和指导本项目的环保工作，研究处理有关环保工作的重大问题。</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default"/>
          <w:b/>
          <w:sz w:val="28"/>
          <w:szCs w:val="20"/>
          <w:lang w:val="en-US" w:eastAsia="zh-CN"/>
        </w:rPr>
      </w:pPr>
      <w:bookmarkStart w:id="79" w:name="_Toc13371"/>
      <w:r>
        <w:rPr>
          <w:rFonts w:hint="eastAsia"/>
          <w:b/>
          <w:sz w:val="28"/>
          <w:szCs w:val="20"/>
          <w:lang w:val="en-US" w:eastAsia="zh-CN"/>
        </w:rPr>
        <w:t>6.3营运期环境管理状况</w:t>
      </w:r>
      <w:bookmarkEnd w:id="79"/>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根据调查。项目营运初期，建设单位主要做了一下几方面的工作:</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1清理、清楚施工期所产生的建筑垃圾及弃土。</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2拆除施工期所建设的临时建筑物，如彩钢板围挡等</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3积极协调相关部门，完善后期临时占地的迹地恢复工作</w:t>
      </w:r>
    </w:p>
    <w:p>
      <w:pPr>
        <w:pStyle w:val="3"/>
        <w:pageBreakBefore w:val="0"/>
        <w:widowControl/>
        <w:kinsoku w:val="0"/>
        <w:wordWrap/>
        <w:overflowPunct/>
        <w:topLinePunct w:val="0"/>
        <w:autoSpaceDE w:val="0"/>
        <w:autoSpaceDN w:val="0"/>
        <w:bidi w:val="0"/>
        <w:adjustRightInd w:val="0"/>
        <w:snapToGrid w:val="0"/>
        <w:spacing w:after="0"/>
        <w:ind w:firstLine="460" w:firstLineChars="200"/>
        <w:textAlignment w:val="baseline"/>
        <w:rPr>
          <w:rFonts w:ascii="Arial"/>
          <w:sz w:val="21"/>
        </w:rPr>
      </w:pPr>
      <w:r>
        <w:rPr>
          <w:rFonts w:hint="eastAsia" w:ascii="宋体" w:hAnsi="宋体" w:eastAsia="宋体" w:cs="宋体"/>
          <w:spacing w:val="-5"/>
          <w:sz w:val="24"/>
          <w:szCs w:val="24"/>
          <w:lang w:val="en-US" w:eastAsia="zh-CN"/>
        </w:rPr>
        <w:t>4委托相关单位开展项目竣工环境保护验收工作。</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ascii="Arial"/>
          <w:sz w:val="21"/>
        </w:rPr>
      </w:pPr>
      <w:bookmarkStart w:id="80" w:name="_Toc31379"/>
      <w:r>
        <w:rPr>
          <w:rFonts w:hint="eastAsia"/>
          <w:b/>
          <w:sz w:val="28"/>
          <w:szCs w:val="20"/>
          <w:lang w:val="en-US" w:eastAsia="zh-CN"/>
        </w:rPr>
        <w:t>6.4环境监测计划落实情况调查</w:t>
      </w:r>
      <w:bookmarkEnd w:id="80"/>
    </w:p>
    <w:p>
      <w:pPr>
        <w:spacing w:before="78" w:line="362" w:lineRule="auto"/>
        <w:ind w:left="39" w:right="15" w:firstLine="480"/>
        <w:jc w:val="both"/>
        <w:rPr>
          <w:rFonts w:ascii="宋体" w:hAnsi="宋体" w:eastAsia="宋体" w:cs="宋体"/>
          <w:sz w:val="24"/>
          <w:szCs w:val="24"/>
        </w:rPr>
      </w:pPr>
      <w:r>
        <w:rPr>
          <w:rFonts w:ascii="宋体" w:hAnsi="宋体" w:eastAsia="宋体" w:cs="宋体"/>
          <w:spacing w:val="-2"/>
          <w:sz w:val="24"/>
          <w:szCs w:val="24"/>
        </w:rPr>
        <w:t>建设单位应根据本《调查报告》的要求，结合本项目沿线环境影响的特点，</w:t>
      </w:r>
      <w:r>
        <w:rPr>
          <w:rFonts w:ascii="宋体" w:hAnsi="宋体" w:eastAsia="宋体" w:cs="宋体"/>
          <w:sz w:val="24"/>
          <w:szCs w:val="24"/>
        </w:rPr>
        <w:t xml:space="preserve"> </w:t>
      </w:r>
      <w:r>
        <w:rPr>
          <w:rFonts w:ascii="宋体" w:hAnsi="宋体" w:eastAsia="宋体" w:cs="宋体"/>
          <w:spacing w:val="-3"/>
          <w:sz w:val="24"/>
          <w:szCs w:val="24"/>
        </w:rPr>
        <w:t>必要时进行营运期环境保护跟踪监测工作，掌握沿线</w:t>
      </w:r>
      <w:r>
        <w:rPr>
          <w:rFonts w:ascii="宋体" w:hAnsi="宋体" w:eastAsia="宋体" w:cs="宋体"/>
          <w:spacing w:val="-4"/>
          <w:sz w:val="24"/>
          <w:szCs w:val="24"/>
        </w:rPr>
        <w:t>环境状况，以便在适当时候</w:t>
      </w:r>
    </w:p>
    <w:p>
      <w:pPr>
        <w:spacing w:before="1" w:line="218" w:lineRule="auto"/>
        <w:ind w:left="39"/>
        <w:rPr>
          <w:rFonts w:ascii="宋体" w:hAnsi="宋体" w:eastAsia="宋体" w:cs="宋体"/>
          <w:sz w:val="24"/>
          <w:szCs w:val="24"/>
        </w:rPr>
      </w:pPr>
      <w:r>
        <w:rPr>
          <w:rFonts w:ascii="宋体" w:hAnsi="宋体" w:eastAsia="宋体" w:cs="宋体"/>
          <w:spacing w:val="-7"/>
          <w:sz w:val="24"/>
          <w:szCs w:val="24"/>
        </w:rPr>
        <w:t>采取进一步的防护措施。</w:t>
      </w:r>
    </w:p>
    <w:p>
      <w:pPr>
        <w:spacing w:line="283" w:lineRule="auto"/>
        <w:rPr>
          <w:rFonts w:ascii="Arial"/>
          <w:sz w:val="21"/>
        </w:rPr>
      </w:pP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lang w:val="en-US" w:eastAsia="zh-CN"/>
        </w:rPr>
      </w:pPr>
      <w:bookmarkStart w:id="81" w:name="_Toc12304"/>
      <w:r>
        <w:rPr>
          <w:rFonts w:hint="eastAsia"/>
          <w:b/>
          <w:sz w:val="28"/>
          <w:szCs w:val="20"/>
          <w:lang w:val="en-US" w:eastAsia="zh-CN"/>
        </w:rPr>
        <w:t>6.5调查结论</w:t>
      </w:r>
      <w:bookmarkEnd w:id="81"/>
    </w:p>
    <w:p>
      <w:pPr>
        <w:spacing w:line="275" w:lineRule="auto"/>
        <w:rPr>
          <w:rFonts w:ascii="Arial"/>
          <w:sz w:val="21"/>
        </w:rPr>
      </w:pPr>
    </w:p>
    <w:p>
      <w:pPr>
        <w:spacing w:before="79" w:line="449" w:lineRule="exact"/>
        <w:ind w:left="520"/>
        <w:rPr>
          <w:rFonts w:ascii="宋体" w:hAnsi="宋体" w:eastAsia="宋体" w:cs="宋体"/>
          <w:sz w:val="24"/>
          <w:szCs w:val="24"/>
        </w:rPr>
      </w:pPr>
      <w:r>
        <w:rPr>
          <w:rFonts w:ascii="宋体" w:hAnsi="宋体" w:eastAsia="宋体" w:cs="宋体"/>
          <w:spacing w:val="-3"/>
          <w:position w:val="15"/>
          <w:sz w:val="24"/>
          <w:szCs w:val="24"/>
        </w:rPr>
        <w:t>工程在施工期间较好地执行了建设项目环境保护</w:t>
      </w:r>
      <w:r>
        <w:rPr>
          <w:rFonts w:ascii="宋体" w:hAnsi="宋体" w:eastAsia="宋体" w:cs="宋体"/>
          <w:spacing w:val="-4"/>
          <w:position w:val="15"/>
          <w:sz w:val="24"/>
          <w:szCs w:val="24"/>
        </w:rPr>
        <w:t>“三同时”制度；在施工期</w:t>
      </w:r>
    </w:p>
    <w:p>
      <w:pPr>
        <w:spacing w:before="1" w:line="219" w:lineRule="auto"/>
        <w:ind w:left="39"/>
        <w:rPr>
          <w:rFonts w:ascii="宋体" w:hAnsi="宋体" w:eastAsia="宋体" w:cs="宋体"/>
          <w:sz w:val="24"/>
          <w:szCs w:val="24"/>
        </w:rPr>
      </w:pPr>
      <w:r>
        <w:rPr>
          <w:rFonts w:ascii="宋体" w:hAnsi="宋体" w:eastAsia="宋体" w:cs="宋体"/>
          <w:spacing w:val="-8"/>
          <w:sz w:val="24"/>
          <w:szCs w:val="24"/>
        </w:rPr>
        <w:t>未进行环境监测，现场调查过程中，周围居民没有对施工期间环境问题提出意</w:t>
      </w:r>
      <w:r>
        <w:rPr>
          <w:rFonts w:ascii="宋体" w:hAnsi="宋体" w:eastAsia="宋体" w:cs="宋体"/>
          <w:spacing w:val="-9"/>
          <w:sz w:val="24"/>
          <w:szCs w:val="24"/>
        </w:rPr>
        <w:t>见。</w:t>
      </w:r>
    </w:p>
    <w:p>
      <w:pPr>
        <w:spacing w:before="194" w:line="471" w:lineRule="exact"/>
        <w:ind w:left="520"/>
        <w:rPr>
          <w:rFonts w:ascii="宋体" w:hAnsi="宋体" w:eastAsia="宋体" w:cs="宋体"/>
          <w:sz w:val="24"/>
          <w:szCs w:val="24"/>
        </w:rPr>
      </w:pPr>
      <w:r>
        <w:rPr>
          <w:rFonts w:ascii="宋体" w:hAnsi="宋体" w:eastAsia="宋体" w:cs="宋体"/>
          <w:spacing w:val="-4"/>
          <w:position w:val="17"/>
          <w:sz w:val="24"/>
          <w:szCs w:val="24"/>
        </w:rPr>
        <w:t>工程已有的环境管理制度及监测计划基本可以满足其环境保护工作要求。建</w:t>
      </w:r>
    </w:p>
    <w:p>
      <w:pPr>
        <w:spacing w:line="219" w:lineRule="auto"/>
        <w:ind w:left="39"/>
        <w:rPr>
          <w:rFonts w:ascii="宋体" w:hAnsi="宋体" w:eastAsia="宋体" w:cs="宋体"/>
          <w:sz w:val="24"/>
          <w:szCs w:val="24"/>
        </w:rPr>
      </w:pPr>
      <w:r>
        <w:rPr>
          <w:rFonts w:ascii="宋体" w:hAnsi="宋体" w:eastAsia="宋体" w:cs="宋体"/>
          <w:spacing w:val="-2"/>
          <w:sz w:val="24"/>
          <w:szCs w:val="24"/>
        </w:rPr>
        <w:t>议在道路工程运营期间，严格执行相关管理制度及</w:t>
      </w:r>
      <w:r>
        <w:rPr>
          <w:rFonts w:ascii="宋体" w:hAnsi="宋体" w:eastAsia="宋体" w:cs="宋体"/>
          <w:spacing w:val="-3"/>
          <w:sz w:val="24"/>
          <w:szCs w:val="24"/>
        </w:rPr>
        <w:t>相应的监测计划。</w:t>
      </w:r>
    </w:p>
    <w:p>
      <w:pPr>
        <w:sectPr>
          <w:headerReference r:id="rId15" w:type="default"/>
          <w:footerReference r:id="rId16" w:type="default"/>
          <w:pgSz w:w="11900" w:h="16840"/>
          <w:pgMar w:top="1056" w:right="1749" w:bottom="1345" w:left="1760" w:header="876" w:footer="1196" w:gutter="0"/>
          <w:pgNumType w:fmt="decimal"/>
          <w:cols w:space="720" w:num="1"/>
        </w:sectPr>
      </w:pPr>
    </w:p>
    <w:p>
      <w:pPr>
        <w:pStyle w:val="4"/>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32"/>
          <w:szCs w:val="16"/>
          <w:lang w:val="en-US" w:eastAsia="zh-CN"/>
        </w:rPr>
      </w:pPr>
      <w:bookmarkStart w:id="82" w:name="_Toc1535"/>
      <w:r>
        <w:rPr>
          <w:rFonts w:hint="eastAsia"/>
          <w:b/>
          <w:sz w:val="32"/>
          <w:szCs w:val="16"/>
          <w:lang w:val="en-US" w:eastAsia="zh-CN"/>
        </w:rPr>
        <w:t>第七章  调查结论与建议</w:t>
      </w:r>
      <w:bookmarkEnd w:id="82"/>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lang w:val="en-US" w:eastAsia="zh-CN"/>
        </w:rPr>
      </w:pPr>
      <w:bookmarkStart w:id="83" w:name="_Toc12590"/>
      <w:r>
        <w:rPr>
          <w:rFonts w:hint="eastAsia"/>
          <w:b/>
          <w:sz w:val="28"/>
          <w:szCs w:val="20"/>
          <w:lang w:val="en-US" w:eastAsia="zh-CN"/>
        </w:rPr>
        <w:t>7.1调查结论</w:t>
      </w:r>
      <w:bookmarkEnd w:id="83"/>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7.1.1项目概况</w:t>
      </w:r>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项目实施后道路等级为城市主干路，道路长 24.653km（其中 C 段起于成佳航空园区，止于贡井区长土镇，长 8.74km；D 段起于贡井区长土镇，止于东环线交叉口，长 15.913km），道路红线宽度 70m（其中 C 段车行道宽 30m，中央绿化带宽 2m；D 段主车道宽 30m，辅道各宽 7.5m，中央绿化带宽 2m，主道和辅道分隔带宽 5m）。主要建设内容包括道路工程、桥涵工程、排水工程、照明工程、绿化工程、交通工程、综合管廊工程、道路红线内绿化工程、道路红线两侧生态修复工程及配套服务设施等，全程为沥青混凝土路面。</w:t>
      </w:r>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项目总投资约35422.24万元,其中环保投资1550万元，占项目总投资的4.4%。本项目于2018年3日正式开工建设，全线于2023年3月建成通车。</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default"/>
          <w:b/>
          <w:sz w:val="24"/>
          <w:szCs w:val="18"/>
          <w:lang w:val="en-US" w:eastAsia="zh-CN"/>
        </w:rPr>
      </w:pPr>
      <w:r>
        <w:rPr>
          <w:rFonts w:hint="eastAsia"/>
          <w:b/>
          <w:sz w:val="24"/>
          <w:szCs w:val="18"/>
          <w:lang w:val="en-US" w:eastAsia="zh-CN"/>
        </w:rPr>
        <w:t>7.1.2环保措施落实情况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pacing w:val="-3"/>
          <w:position w:val="15"/>
          <w:sz w:val="24"/>
          <w:szCs w:val="24"/>
          <w:lang w:val="en-US" w:eastAsia="zh-CN"/>
        </w:rPr>
      </w:pPr>
      <w:r>
        <w:rPr>
          <w:rFonts w:hint="eastAsia" w:ascii="宋体" w:hAnsi="宋体" w:eastAsia="宋体" w:cs="宋体"/>
          <w:spacing w:val="-3"/>
          <w:position w:val="15"/>
          <w:sz w:val="24"/>
          <w:szCs w:val="24"/>
          <w:lang w:val="en-US" w:eastAsia="zh-CN"/>
        </w:rPr>
        <w:t>工程执行了环境影响评价和环境保护“三同时”管理制度。工程的环境影响报告表和设计文件中提出了较为全面、详细的环境保护措施。环评、设计和批复中提出的各项环保要求在工程实际建设中和初期是运行阶段已得到基本落实。后期要求业主单位在今后的管理过程中加强绿化养护工作，保证植被成活率，促进道路景观建设。</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7.1.3环境影响调查结论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234" w:firstLineChars="100"/>
        <w:textAlignment w:val="baseline"/>
        <w:rPr>
          <w:rFonts w:hint="default" w:ascii="宋体" w:hAnsi="宋体" w:eastAsia="宋体" w:cs="宋体"/>
          <w:spacing w:val="-3"/>
          <w:position w:val="15"/>
          <w:sz w:val="24"/>
          <w:szCs w:val="24"/>
          <w:lang w:val="en-US" w:eastAsia="zh-CN"/>
        </w:rPr>
      </w:pPr>
      <w:r>
        <w:rPr>
          <w:rFonts w:hint="eastAsia" w:ascii="宋体" w:hAnsi="宋体" w:eastAsia="宋体" w:cs="宋体"/>
          <w:spacing w:val="-3"/>
          <w:position w:val="15"/>
          <w:sz w:val="24"/>
          <w:szCs w:val="24"/>
          <w:lang w:val="en-US" w:eastAsia="zh-CN"/>
        </w:rPr>
        <w:t>1、地表水环境影响调查结论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pacing w:val="-3"/>
          <w:position w:val="15"/>
          <w:sz w:val="24"/>
          <w:szCs w:val="24"/>
          <w:lang w:val="en-US" w:eastAsia="zh-CN"/>
        </w:rPr>
      </w:pPr>
      <w:r>
        <w:rPr>
          <w:rFonts w:hint="eastAsia" w:ascii="宋体" w:hAnsi="宋体" w:eastAsia="宋体" w:cs="宋体"/>
          <w:spacing w:val="-3"/>
          <w:position w:val="15"/>
          <w:sz w:val="24"/>
          <w:szCs w:val="24"/>
          <w:lang w:val="en-US" w:eastAsia="zh-CN"/>
        </w:rPr>
        <w:t>本工程施工期废水得到了有效处理，对环境的影响已消失；项目营运期废水主要为路面径流，本项目建设有路面排水系统，路面径流可通过排水系统收集排放，不会对区域地表水水质造成影响。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pacing w:val="-3"/>
          <w:position w:val="15"/>
          <w:sz w:val="24"/>
          <w:szCs w:val="24"/>
          <w:lang w:val="en-US" w:eastAsia="zh-CN"/>
        </w:rPr>
      </w:pPr>
      <w:r>
        <w:rPr>
          <w:rFonts w:hint="eastAsia" w:ascii="宋体" w:hAnsi="宋体" w:eastAsia="宋体" w:cs="宋体"/>
          <w:spacing w:val="-3"/>
          <w:position w:val="15"/>
          <w:sz w:val="24"/>
          <w:szCs w:val="24"/>
          <w:lang w:val="en-US" w:eastAsia="zh-CN"/>
        </w:rPr>
        <w:t>综上所述，项目施工期及营运期废水处理措施合理可行，满足验收要求。</w:t>
      </w:r>
    </w:p>
    <w:p>
      <w:pPr>
        <w:pStyle w:val="3"/>
        <w:pageBreakBefore w:val="0"/>
        <w:widowControl/>
        <w:kinsoku w:val="0"/>
        <w:wordWrap/>
        <w:overflowPunct/>
        <w:topLinePunct w:val="0"/>
        <w:autoSpaceDE w:val="0"/>
        <w:autoSpaceDN w:val="0"/>
        <w:bidi w:val="0"/>
        <w:adjustRightInd w:val="0"/>
        <w:snapToGrid w:val="0"/>
        <w:spacing w:after="0"/>
        <w:ind w:firstLine="240" w:firstLineChars="100"/>
        <w:textAlignment w:val="baseline"/>
        <w:rPr>
          <w:rFonts w:hint="eastAsia"/>
          <w:lang w:val="en-US" w:eastAsia="zh-CN"/>
        </w:rPr>
      </w:pPr>
      <w:r>
        <w:rPr>
          <w:rFonts w:hint="eastAsia"/>
          <w:lang w:val="en-US" w:eastAsia="zh-CN"/>
        </w:rPr>
        <w:t>2、大气环境影响调查结论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pacing w:val="-3"/>
          <w:position w:val="15"/>
          <w:sz w:val="24"/>
          <w:szCs w:val="24"/>
          <w:lang w:val="en-US" w:eastAsia="zh-CN"/>
        </w:rPr>
      </w:pPr>
      <w:r>
        <w:rPr>
          <w:rFonts w:hint="eastAsia" w:ascii="宋体" w:hAnsi="宋体" w:eastAsia="宋体" w:cs="宋体"/>
          <w:spacing w:val="-3"/>
          <w:position w:val="15"/>
          <w:sz w:val="24"/>
          <w:szCs w:val="24"/>
          <w:lang w:val="en-US" w:eastAsia="zh-CN"/>
        </w:rPr>
        <w:t>项目施工期已结束,施工期所采取的一系列大气防治措施有效的降低了施工扬尘及施工机械尾气等大气污染物对区域大气环境的影响,施工期造成的大气环境影响已基本恢复；项目营运期主要大气环境影响来源于行驶车辆产生的尾气，项目区域地势开阔，具有良好的扩散条件，且道路两旁边进行了规模绿化以吸附道路扬尘和汽车尾气，保护环境空气质量，满足验收条件。</w:t>
      </w:r>
    </w:p>
    <w:p>
      <w:pPr>
        <w:pStyle w:val="3"/>
        <w:pageBreakBefore w:val="0"/>
        <w:widowControl/>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3、声环境影响调查结论</w:t>
      </w:r>
    </w:p>
    <w:p>
      <w:pPr>
        <w:pStyle w:val="3"/>
        <w:pageBreakBefore w:val="0"/>
        <w:widowControl/>
        <w:kinsoku w:val="0"/>
        <w:wordWrap/>
        <w:overflowPunct/>
        <w:topLinePunct w:val="0"/>
        <w:autoSpaceDE w:val="0"/>
        <w:autoSpaceDN w:val="0"/>
        <w:bidi w:val="0"/>
        <w:adjustRightInd w:val="0"/>
        <w:snapToGrid w:val="0"/>
        <w:spacing w:after="0"/>
        <w:ind w:firstLine="468" w:firstLineChars="200"/>
        <w:textAlignment w:val="baseline"/>
        <w:rPr>
          <w:rFonts w:hint="eastAsia"/>
          <w:lang w:val="en-US" w:eastAsia="zh-CN"/>
        </w:rPr>
      </w:pPr>
      <w:r>
        <w:rPr>
          <w:rFonts w:hint="eastAsia" w:ascii="宋体" w:hAnsi="宋体" w:eastAsia="宋体" w:cs="宋体"/>
          <w:snapToGrid w:val="0"/>
          <w:color w:val="000000"/>
          <w:spacing w:val="-3"/>
          <w:kern w:val="0"/>
          <w:position w:val="15"/>
          <w:sz w:val="24"/>
          <w:szCs w:val="24"/>
          <w:lang w:val="en-US" w:eastAsia="zh-CN"/>
        </w:rPr>
        <w:t>验收调查期间，走访了项目沿线200m范围，施工期间未对周边居民造成声环境影响，无噪声投诉现象发生，通过对道路沿线敏感点进行噪声监测，根据调查及现状监测结果，各个声环境敏感点昼、夜间噪声均达标。</w:t>
      </w:r>
    </w:p>
    <w:p>
      <w:pPr>
        <w:pStyle w:val="3"/>
        <w:pageBreakBefore w:val="0"/>
        <w:widowControl/>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4、固体废弃体物调查结论</w:t>
      </w:r>
    </w:p>
    <w:p>
      <w:pPr>
        <w:pStyle w:val="3"/>
        <w:pageBreakBefore w:val="0"/>
        <w:widowControl/>
        <w:kinsoku w:val="0"/>
        <w:wordWrap/>
        <w:overflowPunct/>
        <w:topLinePunct w:val="0"/>
        <w:autoSpaceDE w:val="0"/>
        <w:autoSpaceDN w:val="0"/>
        <w:bidi w:val="0"/>
        <w:adjustRightInd w:val="0"/>
        <w:snapToGrid w:val="0"/>
        <w:spacing w:after="0"/>
        <w:ind w:firstLine="468" w:firstLineChars="200"/>
        <w:textAlignment w:val="baseline"/>
        <w:rPr>
          <w:rFonts w:hint="eastAsia" w:ascii="宋体" w:hAnsi="宋体" w:eastAsia="宋体" w:cs="宋体"/>
          <w:snapToGrid w:val="0"/>
          <w:color w:val="000000"/>
          <w:spacing w:val="-3"/>
          <w:kern w:val="0"/>
          <w:position w:val="15"/>
          <w:sz w:val="24"/>
          <w:szCs w:val="24"/>
          <w:lang w:val="en-US" w:eastAsia="zh-CN"/>
        </w:rPr>
      </w:pPr>
      <w:r>
        <w:rPr>
          <w:rFonts w:hint="eastAsia" w:ascii="宋体" w:hAnsi="宋体" w:eastAsia="宋体" w:cs="宋体"/>
          <w:spacing w:val="-3"/>
          <w:position w:val="15"/>
          <w:sz w:val="24"/>
          <w:szCs w:val="24"/>
          <w:lang w:val="en-US" w:eastAsia="zh-CN"/>
        </w:rPr>
        <w:t>根据调查，项目施工期弃渣已全部清运出场，项目工程区内未见渣土随意堆放现象。施工人员生活垃圾均得到妥善收集处置，项目区域内未见垃圾随意丢弃现象:运营期过往车辆和路人产生的生活垃圾，每天定时由环卫部门清扫，运至城市垃圾场填埋处理</w:t>
      </w:r>
      <w:r>
        <w:rPr>
          <w:rFonts w:hint="eastAsia" w:ascii="宋体" w:hAnsi="宋体" w:eastAsia="宋体" w:cs="宋体"/>
          <w:snapToGrid w:val="0"/>
          <w:color w:val="000000"/>
          <w:spacing w:val="-3"/>
          <w:kern w:val="0"/>
          <w:position w:val="15"/>
          <w:sz w:val="24"/>
          <w:szCs w:val="24"/>
          <w:lang w:val="en-US" w:eastAsia="zh-CN"/>
        </w:rPr>
        <w:t>。</w:t>
      </w:r>
    </w:p>
    <w:p>
      <w:pPr>
        <w:pStyle w:val="3"/>
        <w:pageBreakBefore w:val="0"/>
        <w:widowControl/>
        <w:kinsoku w:val="0"/>
        <w:wordWrap/>
        <w:overflowPunct/>
        <w:topLinePunct w:val="0"/>
        <w:autoSpaceDE w:val="0"/>
        <w:autoSpaceDN w:val="0"/>
        <w:bidi w:val="0"/>
        <w:adjustRightInd w:val="0"/>
        <w:snapToGrid w:val="0"/>
        <w:spacing w:after="0"/>
        <w:ind w:firstLine="468" w:firstLineChars="200"/>
        <w:textAlignment w:val="baseline"/>
        <w:rPr>
          <w:rFonts w:hint="eastAsia" w:ascii="宋体" w:hAnsi="宋体" w:eastAsia="宋体" w:cs="宋体"/>
          <w:snapToGrid w:val="0"/>
          <w:color w:val="000000"/>
          <w:spacing w:val="-3"/>
          <w:kern w:val="0"/>
          <w:position w:val="15"/>
          <w:sz w:val="24"/>
          <w:szCs w:val="24"/>
          <w:lang w:val="en-US" w:eastAsia="zh-CN"/>
        </w:rPr>
      </w:pPr>
      <w:r>
        <w:rPr>
          <w:rFonts w:hint="eastAsia" w:ascii="宋体" w:hAnsi="宋体" w:eastAsia="宋体" w:cs="宋体"/>
          <w:snapToGrid w:val="0"/>
          <w:color w:val="000000"/>
          <w:spacing w:val="-3"/>
          <w:kern w:val="0"/>
          <w:position w:val="15"/>
          <w:sz w:val="24"/>
          <w:szCs w:val="24"/>
          <w:lang w:val="en-US" w:eastAsia="zh-CN"/>
        </w:rPr>
        <w:t>综上所述，项目施工期及营运期产生的固体废物处置去向明确，处置措施合理可行，满足验收要求。</w:t>
      </w:r>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5、生态环境影响调查结论</w:t>
      </w:r>
    </w:p>
    <w:p>
      <w:pPr>
        <w:pStyle w:val="3"/>
        <w:pageBreakBefore w:val="0"/>
        <w:widowControl/>
        <w:kinsoku w:val="0"/>
        <w:wordWrap/>
        <w:overflowPunct/>
        <w:topLinePunct w:val="0"/>
        <w:autoSpaceDE w:val="0"/>
        <w:autoSpaceDN w:val="0"/>
        <w:bidi w:val="0"/>
        <w:adjustRightInd w:val="0"/>
        <w:snapToGrid w:val="0"/>
        <w:spacing w:after="0"/>
        <w:ind w:firstLine="234" w:firstLineChars="100"/>
        <w:textAlignment w:val="baseline"/>
        <w:rPr>
          <w:rFonts w:hint="eastAsia" w:ascii="宋体" w:hAnsi="宋体" w:eastAsia="宋体" w:cs="宋体"/>
          <w:snapToGrid w:val="0"/>
          <w:color w:val="000000"/>
          <w:spacing w:val="-3"/>
          <w:kern w:val="0"/>
          <w:position w:val="15"/>
          <w:sz w:val="24"/>
          <w:szCs w:val="24"/>
          <w:lang w:val="en-US" w:eastAsia="zh-CN"/>
        </w:rPr>
      </w:pPr>
      <w:r>
        <w:rPr>
          <w:rFonts w:hint="eastAsia" w:ascii="宋体" w:hAnsi="宋体" w:eastAsia="宋体" w:cs="宋体"/>
          <w:snapToGrid w:val="0"/>
          <w:color w:val="000000"/>
          <w:spacing w:val="-3"/>
          <w:kern w:val="0"/>
          <w:position w:val="15"/>
          <w:sz w:val="24"/>
          <w:szCs w:val="24"/>
          <w:lang w:val="en-US" w:eastAsia="zh-CN"/>
        </w:rPr>
        <w:t>根据调查，工程所在区域内的土地利用状况变化较小，项目永久占地被道路占压，项目施工临时占地已及时进行植树种草。项目施工期已结束，施工期所造成的生态影响已基本得到有效恢复。本项目为道路建设项目，营运期不会对区域生态环境造成较大影响，满足验收要求。</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lang w:val="en-US" w:eastAsia="zh-CN"/>
        </w:rPr>
      </w:pPr>
      <w:r>
        <w:rPr>
          <w:rFonts w:hint="eastAsia"/>
          <w:b/>
          <w:sz w:val="24"/>
          <w:szCs w:val="18"/>
          <w:lang w:val="en-US" w:eastAsia="zh-CN"/>
        </w:rPr>
        <w:t>7.1.4环境管理状及测计划落实情况查</w:t>
      </w:r>
    </w:p>
    <w:p>
      <w:pPr>
        <w:pStyle w:val="3"/>
        <w:pageBreakBefore w:val="0"/>
        <w:widowControl/>
        <w:kinsoku w:val="0"/>
        <w:wordWrap/>
        <w:overflowPunct/>
        <w:topLinePunct w:val="0"/>
        <w:autoSpaceDE w:val="0"/>
        <w:autoSpaceDN w:val="0"/>
        <w:bidi w:val="0"/>
        <w:adjustRightInd w:val="0"/>
        <w:snapToGrid w:val="0"/>
        <w:spacing w:after="0"/>
        <w:ind w:firstLine="468" w:firstLineChars="200"/>
        <w:textAlignment w:val="baseline"/>
        <w:rPr>
          <w:rFonts w:hint="eastAsia" w:ascii="宋体" w:hAnsi="宋体" w:eastAsia="宋体" w:cs="宋体"/>
          <w:snapToGrid w:val="0"/>
          <w:color w:val="000000"/>
          <w:spacing w:val="-3"/>
          <w:kern w:val="0"/>
          <w:position w:val="15"/>
          <w:sz w:val="24"/>
          <w:szCs w:val="24"/>
          <w:lang w:val="en-US" w:eastAsia="zh-CN"/>
        </w:rPr>
      </w:pPr>
      <w:r>
        <w:rPr>
          <w:rFonts w:hint="eastAsia" w:ascii="宋体" w:hAnsi="宋体" w:eastAsia="宋体" w:cs="宋体"/>
          <w:snapToGrid w:val="0"/>
          <w:color w:val="000000"/>
          <w:spacing w:val="-3"/>
          <w:kern w:val="0"/>
          <w:position w:val="15"/>
          <w:sz w:val="24"/>
          <w:szCs w:val="24"/>
          <w:lang w:val="en-US" w:eastAsia="zh-CN"/>
        </w:rPr>
        <w:t>1、建设项目执行了国家环境影响评价制度，“三同时”制度和环境保护验收制度，营运单位制定了相关环保规章制度。</w:t>
      </w:r>
    </w:p>
    <w:p>
      <w:pPr>
        <w:pStyle w:val="3"/>
        <w:pageBreakBefore w:val="0"/>
        <w:widowControl/>
        <w:kinsoku w:val="0"/>
        <w:wordWrap/>
        <w:overflowPunct/>
        <w:topLinePunct w:val="0"/>
        <w:autoSpaceDE w:val="0"/>
        <w:autoSpaceDN w:val="0"/>
        <w:bidi w:val="0"/>
        <w:adjustRightInd w:val="0"/>
        <w:snapToGrid w:val="0"/>
        <w:spacing w:after="0"/>
        <w:ind w:firstLine="468" w:firstLineChars="200"/>
        <w:textAlignment w:val="baseline"/>
        <w:rPr>
          <w:rFonts w:hint="eastAsia" w:ascii="宋体" w:hAnsi="宋体" w:eastAsia="宋体" w:cs="宋体"/>
          <w:snapToGrid w:val="0"/>
          <w:color w:val="000000"/>
          <w:spacing w:val="-3"/>
          <w:kern w:val="0"/>
          <w:position w:val="15"/>
          <w:sz w:val="24"/>
          <w:szCs w:val="24"/>
          <w:lang w:val="en-US" w:eastAsia="zh-CN"/>
        </w:rPr>
      </w:pPr>
      <w:r>
        <w:rPr>
          <w:rFonts w:hint="eastAsia" w:ascii="宋体" w:hAnsi="宋体" w:eastAsia="宋体" w:cs="宋体"/>
          <w:snapToGrid w:val="0"/>
          <w:color w:val="000000"/>
          <w:spacing w:val="-3"/>
          <w:kern w:val="0"/>
          <w:position w:val="15"/>
          <w:sz w:val="24"/>
          <w:szCs w:val="24"/>
          <w:lang w:val="en-US" w:eastAsia="zh-CN"/>
        </w:rPr>
        <w:t>2、环境保护局批文对该项目提出的营运期各项环保措施要求基本得到落实。</w:t>
      </w:r>
    </w:p>
    <w:p>
      <w:pPr>
        <w:pStyle w:val="6"/>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4"/>
          <w:szCs w:val="18"/>
          <w:lang w:val="en-US" w:eastAsia="zh-CN"/>
        </w:rPr>
      </w:pPr>
      <w:r>
        <w:rPr>
          <w:rFonts w:hint="eastAsia"/>
          <w:b/>
          <w:sz w:val="24"/>
          <w:szCs w:val="18"/>
          <w:lang w:val="en-US" w:eastAsia="zh-CN"/>
        </w:rPr>
        <w:t>7.1.5综合结论</w:t>
      </w:r>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综上所述，自贡市富荣产城融合带基础设施建设项目（C、D段）在设计、施工、试运行期均采取了一定的污染防治措施，环保设施基本做到了“三同时”制度。噪声监测结果均能满足相关标准。项目建设施工期和试运行期均未对当地地表水、空气、声环境及生态环境造成明显影响，基本落实环境报告表及批复提出的环保要求，建议通过竣工环保验收。</w:t>
      </w:r>
    </w:p>
    <w:p>
      <w:pPr>
        <w:pStyle w:val="5"/>
        <w:keepNext/>
        <w:keepLines/>
        <w:pageBreakBefore w:val="0"/>
        <w:widowControl/>
        <w:kinsoku w:val="0"/>
        <w:wordWrap/>
        <w:overflowPunct/>
        <w:topLinePunct w:val="0"/>
        <w:autoSpaceDE w:val="0"/>
        <w:autoSpaceDN w:val="0"/>
        <w:bidi w:val="0"/>
        <w:adjustRightInd w:val="0"/>
        <w:snapToGrid w:val="0"/>
        <w:spacing w:before="0" w:beforeLines="0" w:after="0" w:afterLines="0" w:line="360" w:lineRule="auto"/>
        <w:ind w:left="0" w:right="0"/>
        <w:textAlignment w:val="baseline"/>
        <w:rPr>
          <w:rFonts w:hint="eastAsia"/>
          <w:b/>
          <w:sz w:val="28"/>
          <w:szCs w:val="20"/>
          <w:lang w:val="en-US" w:eastAsia="zh-CN"/>
        </w:rPr>
      </w:pPr>
      <w:bookmarkStart w:id="84" w:name="_Toc14363"/>
      <w:r>
        <w:rPr>
          <w:rFonts w:hint="eastAsia"/>
          <w:b/>
          <w:sz w:val="28"/>
          <w:szCs w:val="20"/>
          <w:lang w:val="en-US" w:eastAsia="zh-CN"/>
        </w:rPr>
        <w:t>7.2建议</w:t>
      </w:r>
      <w:bookmarkEnd w:id="84"/>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(1)道路两侧第一排建筑不宜新建住宅、学校、医院等声环境敏感设施，宜为商业建筑或其它非噪声敏感建筑物，且宜沿道路平行布置，如面向道路建设噪声 敏感建筑物，应间隔必要的距离。对于邻近道路的噪声敏感建筑物，应合理安排 房间使用功能，以减少交通噪声干扰。例如居民住宅在面向道路一侧布置厨房、卫生间等非居住用房间。并采取隔声措施。</w:t>
      </w:r>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(2)对排水沟进行定期检查、清理，确保雨水运行通畅。</w:t>
      </w:r>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(3)若遇到运载危险品的车辆上路时，应及时通知有关管理部门，经检查批准 后方可上路通行，管理部门应严格监控，防止事故的发生。一旦发生危险品溢出、泄漏等事故，应及时通知有关部门，及时采取应急措施，防止污染的进一步扩散。</w:t>
      </w:r>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480" w:firstLineChars="200"/>
        <w:textAlignment w:val="baseline"/>
        <w:rPr>
          <w:rFonts w:hint="eastAsia"/>
          <w:lang w:val="en-US" w:eastAsia="zh-CN"/>
        </w:rPr>
      </w:pPr>
      <w:r>
        <w:rPr>
          <w:rFonts w:hint="eastAsia"/>
          <w:lang w:val="en-US" w:eastAsia="zh-CN"/>
        </w:rPr>
        <w:t>(4)对两侧尚有部分裸露地表进行植草，恢复植被，对已枯死的花草树木进行补植，增强整体景观效果。</w:t>
      </w:r>
    </w:p>
    <w:p>
      <w:pPr>
        <w:pStyle w:val="3"/>
        <w:pageBreakBefore w:val="0"/>
        <w:widowControl/>
        <w:numPr>
          <w:ilvl w:val="0"/>
          <w:numId w:val="0"/>
        </w:numPr>
        <w:kinsoku w:val="0"/>
        <w:wordWrap/>
        <w:overflowPunct/>
        <w:topLinePunct w:val="0"/>
        <w:autoSpaceDE w:val="0"/>
        <w:autoSpaceDN w:val="0"/>
        <w:bidi w:val="0"/>
        <w:adjustRightInd w:val="0"/>
        <w:snapToGrid w:val="0"/>
        <w:spacing w:after="0"/>
        <w:ind w:firstLine="240" w:firstLineChars="100"/>
        <w:textAlignment w:val="baseline"/>
        <w:rPr>
          <w:rFonts w:hint="default"/>
          <w:color w:val="FF0000"/>
          <w:lang w:val="en-US" w:eastAsia="zh-CN"/>
        </w:rPr>
        <w:sectPr>
          <w:headerReference r:id="rId17" w:type="default"/>
          <w:footerReference r:id="rId18" w:type="default"/>
          <w:pgSz w:w="11906" w:h="16838"/>
          <w:pgMar w:top="1440" w:right="1800" w:bottom="1440" w:left="1800" w:header="851" w:footer="992" w:gutter="0"/>
          <w:pgNumType w:fmt="decimal"/>
          <w:cols w:space="425" w:num="1"/>
          <w:docGrid w:type="lines" w:linePitch="312" w:charSpace="0"/>
        </w:sectPr>
      </w:pPr>
      <w:r>
        <w:rPr>
          <w:rFonts w:hint="eastAsia"/>
          <w:color w:val="FF0000"/>
          <w:lang w:val="en-US" w:eastAsia="zh-CN"/>
        </w:rPr>
        <w:t>（5）保障公路沿线公众健康和生活质量，通过设置环保投诉处理部门，专门接收投诉信息。及时建立专门的投诉受理渠道，确保能够对投诉信息进行准确、及时地记录，处理。</w:t>
      </w:r>
      <w:bookmarkStart w:id="102" w:name="_GoBack"/>
      <w:bookmarkEnd w:id="102"/>
    </w:p>
    <w:p>
      <w:pPr>
        <w:pStyle w:val="4"/>
        <w:keepNext/>
        <w:keepLines/>
        <w:pageBreakBefore w:val="0"/>
        <w:widowControl/>
        <w:kinsoku w:val="0"/>
        <w:wordWrap/>
        <w:overflowPunct/>
        <w:topLinePunct w:val="0"/>
        <w:autoSpaceDE w:val="0"/>
        <w:autoSpaceDN w:val="0"/>
        <w:bidi w:val="0"/>
        <w:adjustRightInd w:val="0"/>
        <w:snapToGrid w:val="0"/>
        <w:spacing w:before="0" w:after="0" w:line="240" w:lineRule="atLeast"/>
        <w:jc w:val="center"/>
        <w:textAlignment w:val="baseline"/>
        <w:rPr>
          <w:rFonts w:hint="default"/>
        </w:rPr>
      </w:pPr>
      <w:bookmarkStart w:id="85" w:name="_Toc7095_WPSOffice_Level1"/>
      <w:bookmarkStart w:id="86" w:name="_Toc14325"/>
      <w:bookmarkStart w:id="87" w:name="_Toc27278_WPSOffice_Level1"/>
      <w:bookmarkStart w:id="88" w:name="_Toc23488_WPSOffice_Level1"/>
      <w:bookmarkStart w:id="89" w:name="_Toc17463_WPSOffice_Level1"/>
      <w:bookmarkStart w:id="90" w:name="_Toc8971_WPSOffice_Level1"/>
      <w:bookmarkStart w:id="91" w:name="_Toc16176_WPSOffice_Level1"/>
      <w:bookmarkStart w:id="92" w:name="_Toc24234_WPSOffice_Level1"/>
      <w:bookmarkStart w:id="93" w:name="_Toc7066"/>
      <w:bookmarkStart w:id="94" w:name="_Toc14856_WPSOffice_Level1"/>
      <w:r>
        <w:rPr>
          <w:rFonts w:hint="default"/>
        </w:rPr>
        <w:t>建设项目工程竣工环境保护“三同时”验收登记表</w:t>
      </w:r>
      <w:bookmarkEnd w:id="85"/>
      <w:bookmarkEnd w:id="86"/>
      <w:bookmarkEnd w:id="87"/>
      <w:bookmarkEnd w:id="88"/>
      <w:bookmarkEnd w:id="89"/>
      <w:bookmarkEnd w:id="90"/>
      <w:bookmarkEnd w:id="91"/>
      <w:bookmarkEnd w:id="92"/>
      <w:bookmarkEnd w:id="93"/>
      <w:bookmarkEnd w:id="94"/>
    </w:p>
    <w:p>
      <w:pPr>
        <w:keepNext w:val="0"/>
        <w:keepLines w:val="0"/>
        <w:pageBreakBefore w:val="0"/>
        <w:widowControl/>
        <w:tabs>
          <w:tab w:val="left" w:pos="4631"/>
          <w:tab w:val="left" w:pos="9376"/>
        </w:tabs>
        <w:kinsoku/>
        <w:wordWrap/>
        <w:overflowPunct/>
        <w:topLinePunct w:val="0"/>
        <w:autoSpaceDE/>
        <w:autoSpaceDN/>
        <w:bidi w:val="0"/>
        <w:adjustRightInd w:val="0"/>
        <w:snapToGrid w:val="0"/>
        <w:spacing w:before="0" w:after="0"/>
        <w:ind w:left="941" w:right="0" w:firstLine="0"/>
        <w:jc w:val="left"/>
        <w:textAlignment w:val="auto"/>
        <w:outlineLvl w:val="9"/>
        <w:rPr>
          <w:rFonts w:hint="default" w:ascii="Times New Roman" w:hAnsi="Times New Roman" w:eastAsia="宋体" w:cs="Times New Roman"/>
          <w:color w:val="auto"/>
          <w:sz w:val="21"/>
          <w:szCs w:val="21"/>
        </w:rPr>
      </w:pPr>
      <w:bookmarkStart w:id="95" w:name="_Toc2560_WPSOffice_Level1"/>
      <w:bookmarkStart w:id="96" w:name="_Toc29175_WPSOffice_Level1"/>
      <w:r>
        <w:rPr>
          <w:rFonts w:hint="default" w:ascii="Times New Roman" w:hAnsi="Times New Roman" w:eastAsia="宋体" w:cs="Times New Roman"/>
          <w:b/>
          <w:bCs/>
          <w:color w:val="auto"/>
          <w:spacing w:val="-11"/>
          <w:w w:val="95"/>
          <w:sz w:val="21"/>
          <w:szCs w:val="21"/>
        </w:rPr>
        <w:t>填表单位（盖章）：中交自贡城市建设发展有限公司</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bCs/>
          <w:color w:val="auto"/>
          <w:spacing w:val="-12"/>
          <w:w w:val="95"/>
          <w:sz w:val="21"/>
          <w:szCs w:val="21"/>
        </w:rPr>
        <w:t>填表人（签字）：</w:t>
      </w:r>
      <w:r>
        <w:rPr>
          <w:rFonts w:hint="default" w:ascii="Times New Roman" w:hAnsi="Times New Roman" w:eastAsia="宋体" w:cs="Times New Roman"/>
          <w:b/>
          <w:bCs/>
          <w:color w:val="auto"/>
          <w:spacing w:val="-12"/>
          <w:w w:val="95"/>
          <w:sz w:val="21"/>
          <w:szCs w:val="21"/>
        </w:rPr>
        <w:tab/>
      </w:r>
      <w:r>
        <w:rPr>
          <w:rFonts w:hint="default" w:ascii="Times New Roman" w:hAnsi="Times New Roman" w:eastAsia="宋体" w:cs="Times New Roman"/>
          <w:b/>
          <w:bCs/>
          <w:color w:val="auto"/>
          <w:spacing w:val="-10"/>
          <w:sz w:val="21"/>
          <w:szCs w:val="21"/>
        </w:rPr>
        <w:t>项目经办人（签字）：</w:t>
      </w:r>
      <w:bookmarkEnd w:id="95"/>
      <w:bookmarkEnd w:id="96"/>
    </w:p>
    <w:tbl>
      <w:tblPr>
        <w:tblStyle w:val="13"/>
        <w:tblpPr w:leftFromText="180" w:rightFromText="180" w:vertAnchor="text" w:horzAnchor="page" w:tblpX="939" w:tblpY="203"/>
        <w:tblOverlap w:val="never"/>
        <w:tblW w:w="0" w:type="auto"/>
        <w:tblInd w:w="0" w:type="dxa"/>
        <w:tblLayout w:type="fixed"/>
        <w:tblCellMar>
          <w:top w:w="0" w:type="dxa"/>
          <w:left w:w="0" w:type="dxa"/>
          <w:bottom w:w="0" w:type="dxa"/>
          <w:right w:w="0" w:type="dxa"/>
        </w:tblCellMar>
      </w:tblPr>
      <w:tblGrid>
        <w:gridCol w:w="430"/>
        <w:gridCol w:w="166"/>
        <w:gridCol w:w="1648"/>
        <w:gridCol w:w="832"/>
        <w:gridCol w:w="1186"/>
        <w:gridCol w:w="1118"/>
        <w:gridCol w:w="151"/>
        <w:gridCol w:w="722"/>
        <w:gridCol w:w="464"/>
        <w:gridCol w:w="695"/>
        <w:gridCol w:w="654"/>
        <w:gridCol w:w="579"/>
        <w:gridCol w:w="963"/>
        <w:gridCol w:w="1612"/>
        <w:gridCol w:w="1251"/>
        <w:gridCol w:w="262"/>
        <w:gridCol w:w="870"/>
        <w:gridCol w:w="750"/>
        <w:gridCol w:w="750"/>
      </w:tblGrid>
      <w:tr>
        <w:tblPrEx>
          <w:tblCellMar>
            <w:top w:w="0" w:type="dxa"/>
            <w:left w:w="0" w:type="dxa"/>
            <w:bottom w:w="0" w:type="dxa"/>
            <w:right w:w="0" w:type="dxa"/>
          </w:tblCellMar>
        </w:tblPrEx>
        <w:trPr>
          <w:trHeight w:val="281" w:hRule="exact"/>
        </w:trPr>
        <w:tc>
          <w:tcPr>
            <w:tcW w:w="430" w:type="dxa"/>
            <w:vMerge w:val="restart"/>
            <w:tcBorders>
              <w:top w:val="single" w:color="000000" w:sz="8" w:space="0"/>
              <w:left w:val="single" w:color="000000" w:sz="8" w:space="0"/>
              <w:right w:val="single" w:color="000000" w:sz="4" w:space="0"/>
            </w:tcBorders>
            <w:noWrap w:val="0"/>
            <w:textDirection w:val="tbRl"/>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建设项目</w:t>
            </w:r>
          </w:p>
        </w:tc>
        <w:tc>
          <w:tcPr>
            <w:tcW w:w="1814" w:type="dxa"/>
            <w:gridSpan w:val="2"/>
            <w:tcBorders>
              <w:top w:val="single" w:color="000000" w:sz="8" w:space="0"/>
              <w:left w:val="single" w:color="000000" w:sz="4" w:space="0"/>
              <w:bottom w:val="single" w:color="000000" w:sz="4" w:space="0"/>
              <w:right w:val="single" w:color="000000" w:sz="4" w:space="0"/>
            </w:tcBorders>
            <w:noWrap w:val="0"/>
            <w:vAlign w:val="bottom"/>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项目名称</w:t>
            </w:r>
          </w:p>
        </w:tc>
        <w:tc>
          <w:tcPr>
            <w:tcW w:w="5168" w:type="dxa"/>
            <w:gridSpan w:val="7"/>
            <w:tcBorders>
              <w:top w:val="single" w:color="000000" w:sz="8"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both"/>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自贡市富荣产城融合带基础设施建设项目（C、D段）</w:t>
            </w:r>
          </w:p>
        </w:tc>
        <w:tc>
          <w:tcPr>
            <w:tcW w:w="2196" w:type="dxa"/>
            <w:gridSpan w:val="3"/>
            <w:tcBorders>
              <w:top w:val="single" w:color="000000" w:sz="8" w:space="0"/>
              <w:left w:val="single" w:color="000000" w:sz="4" w:space="0"/>
              <w:bottom w:val="single" w:color="000000" w:sz="4" w:space="0"/>
              <w:right w:val="single" w:color="000000" w:sz="4" w:space="0"/>
            </w:tcBorders>
            <w:noWrap w:val="0"/>
            <w:vAlign w:val="bottom"/>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项目代码</w:t>
            </w:r>
          </w:p>
        </w:tc>
        <w:tc>
          <w:tcPr>
            <w:tcW w:w="1612" w:type="dxa"/>
            <w:tcBorders>
              <w:top w:val="single" w:color="000000" w:sz="8"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kern w:val="2"/>
                <w:sz w:val="15"/>
                <w:szCs w:val="15"/>
                <w:lang w:val="en-US" w:eastAsia="zh-CN" w:bidi="ar-SA"/>
              </w:rPr>
              <w:t>/</w:t>
            </w:r>
          </w:p>
        </w:tc>
        <w:tc>
          <w:tcPr>
            <w:tcW w:w="1513" w:type="dxa"/>
            <w:gridSpan w:val="2"/>
            <w:tcBorders>
              <w:top w:val="single" w:color="000000" w:sz="8" w:space="0"/>
              <w:left w:val="single" w:color="000000" w:sz="4" w:space="0"/>
              <w:bottom w:val="single" w:color="000000" w:sz="4" w:space="0"/>
              <w:right w:val="single" w:color="000000" w:sz="4" w:space="0"/>
            </w:tcBorders>
            <w:noWrap w:val="0"/>
            <w:vAlign w:val="bottom"/>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建设地点</w:t>
            </w:r>
          </w:p>
        </w:tc>
        <w:tc>
          <w:tcPr>
            <w:tcW w:w="2370" w:type="dxa"/>
            <w:gridSpan w:val="3"/>
            <w:tcBorders>
              <w:top w:val="single" w:color="000000" w:sz="8" w:space="0"/>
              <w:left w:val="single" w:color="000000" w:sz="4" w:space="0"/>
              <w:bottom w:val="single" w:color="000000" w:sz="4" w:space="0"/>
              <w:right w:val="single" w:color="000000" w:sz="8" w:space="0"/>
            </w:tcBorders>
            <w:noWrap w:val="0"/>
            <w:vAlign w:val="bottom"/>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四川省自贡市贡井区、自流井区</w:t>
            </w:r>
          </w:p>
        </w:tc>
      </w:tr>
      <w:tr>
        <w:tblPrEx>
          <w:tblCellMar>
            <w:top w:w="0" w:type="dxa"/>
            <w:left w:w="0" w:type="dxa"/>
            <w:bottom w:w="0" w:type="dxa"/>
            <w:right w:w="0" w:type="dxa"/>
          </w:tblCellMar>
        </w:tblPrEx>
        <w:trPr>
          <w:trHeight w:val="292"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行业类别（分类管理名录）</w:t>
            </w:r>
          </w:p>
        </w:tc>
        <w:tc>
          <w:tcPr>
            <w:tcW w:w="516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市政道路工程建筑E4813</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建设性质</w:t>
            </w:r>
          </w:p>
        </w:tc>
        <w:tc>
          <w:tcPr>
            <w:tcW w:w="5495" w:type="dxa"/>
            <w:gridSpan w:val="6"/>
            <w:tcBorders>
              <w:top w:val="single" w:color="000000" w:sz="4" w:space="0"/>
              <w:left w:val="single" w:color="000000" w:sz="4" w:space="0"/>
              <w:bottom w:val="single" w:color="000000" w:sz="6" w:space="0"/>
              <w:right w:val="single" w:color="000000" w:sz="8" w:space="0"/>
            </w:tcBorders>
            <w:noWrap w:val="0"/>
            <w:vAlign w:val="center"/>
          </w:tcPr>
          <w:p>
            <w:pPr>
              <w:pStyle w:val="19"/>
              <w:keepNext w:val="0"/>
              <w:keepLines w:val="0"/>
              <w:pageBreakBefore w:val="0"/>
              <w:widowControl w:val="0"/>
              <w:tabs>
                <w:tab w:val="left" w:pos="3348"/>
              </w:tabs>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eastAsia" w:ascii="Times New Roman" w:hAnsi="Times New Roman" w:eastAsia="宋体" w:cs="Times New Roman"/>
                <w:b/>
                <w:bCs/>
                <w:color w:val="auto"/>
                <w:sz w:val="16"/>
                <w:szCs w:val="16"/>
                <w:lang w:val="en-US" w:eastAsia="zh-CN" w:bidi="ar-SA"/>
              </w:rPr>
              <w:t>□</w:t>
            </w:r>
            <w:r>
              <w:rPr>
                <w:rFonts w:hint="default" w:ascii="Times New Roman" w:hAnsi="Times New Roman" w:eastAsia="宋体" w:cs="Times New Roman"/>
                <w:b w:val="0"/>
                <w:bCs w:val="0"/>
                <w:color w:val="auto"/>
                <w:sz w:val="15"/>
                <w:szCs w:val="15"/>
              </w:rPr>
              <w:t xml:space="preserve">新建  </w:t>
            </w:r>
            <w:r>
              <w:rPr>
                <w:rFonts w:hint="default" w:ascii="Times New Roman" w:hAnsi="Times New Roman" w:eastAsia="宋体" w:cs="Times New Roman"/>
                <w:b/>
                <w:bCs/>
                <w:color w:val="auto"/>
                <w:sz w:val="16"/>
                <w:szCs w:val="16"/>
                <w:lang w:val="en-US" w:eastAsia="zh-CN" w:bidi="ar-SA"/>
              </w:rPr>
              <w:t xml:space="preserve"> </w:t>
            </w:r>
            <w:r>
              <w:rPr>
                <w:rFonts w:hint="eastAsia" w:ascii="Times New Roman" w:hAnsi="Times New Roman" w:eastAsia="宋体" w:cs="Times New Roman"/>
                <w:b/>
                <w:bCs/>
                <w:color w:val="auto"/>
                <w:sz w:val="16"/>
                <w:szCs w:val="16"/>
                <w:lang w:val="en-US" w:eastAsia="zh-CN" w:bidi="ar-SA"/>
              </w:rPr>
              <w:t>☑</w:t>
            </w:r>
            <w:r>
              <w:rPr>
                <w:rFonts w:hint="default" w:ascii="Times New Roman" w:hAnsi="Times New Roman" w:eastAsia="宋体" w:cs="Times New Roman"/>
                <w:b/>
                <w:bCs/>
                <w:color w:val="auto"/>
                <w:sz w:val="16"/>
                <w:szCs w:val="16"/>
                <w:lang w:val="en-US" w:eastAsia="zh-CN" w:bidi="ar-SA"/>
              </w:rPr>
              <w:t xml:space="preserve"> </w:t>
            </w:r>
            <w:r>
              <w:rPr>
                <w:rFonts w:hint="default" w:ascii="Times New Roman" w:hAnsi="Times New Roman" w:eastAsia="Times New Roman" w:cs="Times New Roman"/>
                <w:b w:val="0"/>
                <w:bCs w:val="0"/>
                <w:color w:val="auto"/>
                <w:sz w:val="15"/>
                <w:szCs w:val="15"/>
              </w:rPr>
              <w:t xml:space="preserve"> </w:t>
            </w:r>
            <w:r>
              <w:rPr>
                <w:rFonts w:hint="default" w:ascii="Times New Roman" w:hAnsi="Times New Roman" w:eastAsia="宋体" w:cs="Times New Roman"/>
                <w:b w:val="0"/>
                <w:bCs w:val="0"/>
                <w:color w:val="auto"/>
                <w:sz w:val="15"/>
                <w:szCs w:val="15"/>
              </w:rPr>
              <w:t xml:space="preserve">改扩建 </w:t>
            </w:r>
            <w:r>
              <w:rPr>
                <w:rFonts w:hint="eastAsia" w:ascii="Times New Roman" w:hAnsi="Times New Roman" w:eastAsia="宋体" w:cs="Times New Roman"/>
                <w:b/>
                <w:bCs/>
                <w:color w:val="auto"/>
                <w:sz w:val="16"/>
                <w:szCs w:val="16"/>
                <w:lang w:val="en-US" w:eastAsia="zh-CN" w:bidi="ar-SA"/>
              </w:rPr>
              <w:t>□</w:t>
            </w:r>
            <w:r>
              <w:rPr>
                <w:rFonts w:hint="default" w:ascii="Times New Roman" w:hAnsi="Times New Roman" w:eastAsia="宋体" w:cs="Times New Roman"/>
                <w:b w:val="0"/>
                <w:bCs w:val="0"/>
                <w:color w:val="auto"/>
                <w:sz w:val="15"/>
                <w:szCs w:val="15"/>
              </w:rPr>
              <w:t>技术改造</w:t>
            </w:r>
            <w:r>
              <w:rPr>
                <w:rFonts w:hint="default" w:ascii="Times New Roman" w:hAnsi="Times New Roman" w:eastAsia="宋体" w:cs="Times New Roman"/>
                <w:b w:val="0"/>
                <w:bCs w:val="0"/>
                <w:color w:val="auto"/>
                <w:spacing w:val="-16"/>
                <w:sz w:val="15"/>
                <w:szCs w:val="15"/>
              </w:rPr>
              <w:t xml:space="preserve"> </w:t>
            </w:r>
            <w:r>
              <w:rPr>
                <w:rFonts w:hint="eastAsia" w:ascii="Times New Roman" w:hAnsi="Times New Roman" w:eastAsia="宋体" w:cs="Times New Roman"/>
                <w:b/>
                <w:bCs/>
                <w:color w:val="auto"/>
                <w:sz w:val="16"/>
                <w:szCs w:val="16"/>
                <w:lang w:val="en-US" w:eastAsia="zh-CN" w:bidi="ar-SA"/>
              </w:rPr>
              <w:t>□</w:t>
            </w:r>
            <w:r>
              <w:rPr>
                <w:rFonts w:hint="default" w:ascii="Times New Roman" w:hAnsi="Times New Roman" w:eastAsia="宋体" w:cs="Times New Roman"/>
                <w:b w:val="0"/>
                <w:bCs w:val="0"/>
                <w:color w:val="auto"/>
                <w:sz w:val="15"/>
                <w:szCs w:val="15"/>
              </w:rPr>
              <w:t>分期建设，第</w:t>
            </w:r>
            <w:r>
              <w:rPr>
                <w:rFonts w:hint="eastAsia" w:ascii="Times New Roman" w:hAnsi="Times New Roman" w:eastAsia="宋体" w:cs="Times New Roman"/>
                <w:b w:val="0"/>
                <w:bCs w:val="0"/>
                <w:color w:val="auto"/>
                <w:sz w:val="15"/>
                <w:szCs w:val="15"/>
                <w:lang w:val="en-US" w:eastAsia="zh-CN"/>
              </w:rPr>
              <w:t>一</w:t>
            </w:r>
            <w:r>
              <w:rPr>
                <w:rFonts w:hint="default" w:ascii="Times New Roman" w:hAnsi="Times New Roman" w:eastAsia="宋体" w:cs="Times New Roman"/>
                <w:b w:val="0"/>
                <w:bCs w:val="0"/>
                <w:color w:val="auto"/>
                <w:sz w:val="15"/>
                <w:szCs w:val="15"/>
              </w:rPr>
              <w:t>期</w:t>
            </w:r>
            <w:r>
              <w:rPr>
                <w:rFonts w:hint="default" w:ascii="Times New Roman" w:hAnsi="Times New Roman" w:eastAsia="宋体" w:cs="Times New Roman"/>
                <w:b w:val="0"/>
                <w:bCs w:val="0"/>
                <w:color w:val="auto"/>
                <w:spacing w:val="-2"/>
                <w:sz w:val="15"/>
                <w:szCs w:val="15"/>
              </w:rPr>
              <w:t xml:space="preserve"> </w:t>
            </w:r>
            <w:r>
              <w:rPr>
                <w:rFonts w:hint="eastAsia" w:ascii="Times New Roman" w:hAnsi="Times New Roman" w:eastAsia="宋体" w:cs="Times New Roman"/>
                <w:b/>
                <w:bCs/>
                <w:color w:val="auto"/>
                <w:sz w:val="16"/>
                <w:szCs w:val="16"/>
                <w:lang w:val="en-US" w:eastAsia="zh-CN" w:bidi="ar-SA"/>
              </w:rPr>
              <w:t>□</w:t>
            </w:r>
            <w:r>
              <w:rPr>
                <w:rFonts w:hint="default" w:ascii="Times New Roman" w:hAnsi="Times New Roman" w:eastAsia="宋体" w:cs="Times New Roman"/>
                <w:b w:val="0"/>
                <w:bCs w:val="0"/>
                <w:color w:val="auto"/>
                <w:sz w:val="15"/>
                <w:szCs w:val="15"/>
              </w:rPr>
              <w:t>其他</w:t>
            </w:r>
          </w:p>
        </w:tc>
      </w:tr>
      <w:tr>
        <w:tblPrEx>
          <w:tblCellMar>
            <w:top w:w="0" w:type="dxa"/>
            <w:left w:w="0" w:type="dxa"/>
            <w:bottom w:w="0" w:type="dxa"/>
            <w:right w:w="0" w:type="dxa"/>
          </w:tblCellMar>
        </w:tblPrEx>
        <w:trPr>
          <w:trHeight w:val="259"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设计生产规模</w:t>
            </w:r>
          </w:p>
        </w:tc>
        <w:tc>
          <w:tcPr>
            <w:tcW w:w="516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6"/>
                <w:szCs w:val="16"/>
                <w:lang w:val="en-US" w:eastAsia="zh-CN" w:bidi="ar-SA"/>
              </w:rPr>
            </w:pPr>
            <w:r>
              <w:rPr>
                <w:rFonts w:hint="eastAsia" w:ascii="Times New Roman" w:hAnsi="Times New Roman" w:eastAsia="宋体" w:cs="Times New Roman"/>
                <w:b w:val="0"/>
                <w:bCs w:val="0"/>
                <w:color w:val="auto"/>
                <w:sz w:val="16"/>
                <w:szCs w:val="16"/>
                <w:lang w:val="en-US" w:eastAsia="zh-CN" w:bidi="ar-SA"/>
              </w:rPr>
              <w:t>/</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实际生产规模</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微软雅黑" w:cs="Times New Roman"/>
                <w:b w:val="0"/>
                <w:bCs w:val="0"/>
                <w:color w:val="auto"/>
                <w:sz w:val="15"/>
                <w:szCs w:val="15"/>
                <w:lang w:val="en-US" w:eastAsia="zh-CN"/>
              </w:rPr>
            </w:pPr>
            <w:r>
              <w:rPr>
                <w:rFonts w:hint="eastAsia" w:ascii="Times New Roman" w:hAnsi="Times New Roman" w:eastAsia="宋体" w:cs="Times New Roman"/>
                <w:b w:val="0"/>
                <w:bCs w:val="0"/>
                <w:color w:val="auto"/>
                <w:sz w:val="16"/>
                <w:szCs w:val="16"/>
                <w:lang w:val="en-US" w:eastAsia="zh-CN" w:bidi="ar-SA"/>
              </w:rPr>
              <w:t>/</w:t>
            </w:r>
          </w:p>
        </w:tc>
        <w:tc>
          <w:tcPr>
            <w:tcW w:w="1513" w:type="dxa"/>
            <w:gridSpan w:val="2"/>
            <w:tcBorders>
              <w:top w:val="single" w:color="000000" w:sz="6"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环评单位</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宇寰环保科技（上海）有限公司</w:t>
            </w:r>
          </w:p>
        </w:tc>
      </w:tr>
      <w:tr>
        <w:tblPrEx>
          <w:tblCellMar>
            <w:top w:w="0" w:type="dxa"/>
            <w:left w:w="0" w:type="dxa"/>
            <w:bottom w:w="0" w:type="dxa"/>
            <w:right w:w="0" w:type="dxa"/>
          </w:tblCellMar>
        </w:tblPrEx>
        <w:trPr>
          <w:trHeight w:val="414"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环评文件审批机关</w:t>
            </w:r>
          </w:p>
        </w:tc>
        <w:tc>
          <w:tcPr>
            <w:tcW w:w="516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eastAsia" w:ascii="Times New Roman" w:hAnsi="Times New Roman" w:eastAsia="宋体" w:cs="Times New Roman"/>
                <w:b w:val="0"/>
                <w:bCs w:val="0"/>
                <w:color w:val="auto"/>
                <w:kern w:val="2"/>
                <w:sz w:val="15"/>
                <w:szCs w:val="15"/>
                <w:lang w:val="en-US" w:eastAsia="zh-CN" w:bidi="ar-SA"/>
              </w:rPr>
              <w:t>自贡市生态环境局</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审批文号</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自环准许[2018】8号</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环评文件类型</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环境影响评价报告表</w:t>
            </w:r>
          </w:p>
        </w:tc>
      </w:tr>
      <w:tr>
        <w:tblPrEx>
          <w:tblCellMar>
            <w:top w:w="0" w:type="dxa"/>
            <w:left w:w="0" w:type="dxa"/>
            <w:bottom w:w="0" w:type="dxa"/>
            <w:right w:w="0" w:type="dxa"/>
          </w:tblCellMar>
        </w:tblPrEx>
        <w:trPr>
          <w:trHeight w:val="251"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开工日期</w:t>
            </w:r>
          </w:p>
        </w:tc>
        <w:tc>
          <w:tcPr>
            <w:tcW w:w="516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20</w:t>
            </w:r>
            <w:r>
              <w:rPr>
                <w:rFonts w:hint="eastAsia" w:ascii="Times New Roman" w:hAnsi="Times New Roman" w:eastAsia="宋体" w:cs="Times New Roman"/>
                <w:b w:val="0"/>
                <w:bCs w:val="0"/>
                <w:color w:val="auto"/>
                <w:sz w:val="15"/>
                <w:szCs w:val="15"/>
                <w:lang w:val="en-US" w:eastAsia="zh-CN" w:bidi="ar-SA"/>
              </w:rPr>
              <w:t>18</w:t>
            </w:r>
            <w:r>
              <w:rPr>
                <w:rFonts w:hint="default" w:ascii="Times New Roman" w:hAnsi="Times New Roman" w:eastAsia="宋体" w:cs="Times New Roman"/>
                <w:b w:val="0"/>
                <w:bCs w:val="0"/>
                <w:color w:val="auto"/>
                <w:sz w:val="15"/>
                <w:szCs w:val="15"/>
                <w:lang w:val="en-US" w:eastAsia="zh-CN" w:bidi="ar-SA"/>
              </w:rPr>
              <w:t>年</w:t>
            </w:r>
            <w:r>
              <w:rPr>
                <w:rFonts w:hint="eastAsia" w:ascii="Times New Roman" w:hAnsi="Times New Roman" w:eastAsia="宋体" w:cs="Times New Roman"/>
                <w:b w:val="0"/>
                <w:bCs w:val="0"/>
                <w:color w:val="auto"/>
                <w:sz w:val="15"/>
                <w:szCs w:val="15"/>
                <w:lang w:val="en-US" w:eastAsia="zh-CN" w:bidi="ar-SA"/>
              </w:rPr>
              <w:t>3</w:t>
            </w:r>
            <w:r>
              <w:rPr>
                <w:rFonts w:hint="default" w:ascii="Times New Roman" w:hAnsi="Times New Roman" w:eastAsia="宋体" w:cs="Times New Roman"/>
                <w:b w:val="0"/>
                <w:bCs w:val="0"/>
                <w:color w:val="auto"/>
                <w:sz w:val="15"/>
                <w:szCs w:val="15"/>
                <w:lang w:val="en-US" w:eastAsia="zh-CN" w:bidi="ar-SA"/>
              </w:rPr>
              <w:t>月</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竣工日期</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2023</w:t>
            </w:r>
            <w:r>
              <w:rPr>
                <w:rFonts w:hint="default" w:ascii="Times New Roman" w:hAnsi="Times New Roman" w:eastAsia="宋体" w:cs="Times New Roman"/>
                <w:b w:val="0"/>
                <w:bCs w:val="0"/>
                <w:color w:val="auto"/>
                <w:sz w:val="15"/>
                <w:szCs w:val="15"/>
                <w:lang w:val="en-US" w:eastAsia="zh-CN" w:bidi="ar-SA"/>
              </w:rPr>
              <w:t>年</w:t>
            </w:r>
            <w:r>
              <w:rPr>
                <w:rFonts w:hint="eastAsia" w:ascii="Times New Roman" w:hAnsi="Times New Roman" w:eastAsia="宋体" w:cs="Times New Roman"/>
                <w:b w:val="0"/>
                <w:bCs w:val="0"/>
                <w:color w:val="auto"/>
                <w:sz w:val="15"/>
                <w:szCs w:val="15"/>
                <w:lang w:val="en-US" w:eastAsia="zh-CN" w:bidi="ar-SA"/>
              </w:rPr>
              <w:t>3月</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排污许可证申领时间</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微软雅黑"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61"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FF0000"/>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建设地点坐标（中心点）</w:t>
            </w:r>
          </w:p>
        </w:tc>
        <w:tc>
          <w:tcPr>
            <w:tcW w:w="516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线性工程长度（千米）</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 xml:space="preserve"> 24.653</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起始点经纬度</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eastAsia" w:ascii="Times New Roman" w:hAnsi="Times New Roman" w:eastAsia="宋体" w:cs="Times New Roman"/>
                <w:b w:val="0"/>
                <w:bCs w:val="0"/>
                <w:color w:val="auto"/>
                <w:kern w:val="2"/>
                <w:sz w:val="15"/>
                <w:szCs w:val="15"/>
                <w:lang w:val="en-US" w:eastAsia="zh-CN" w:bidi="ar-SA"/>
              </w:rPr>
              <w:t>/</w:t>
            </w:r>
          </w:p>
        </w:tc>
      </w:tr>
      <w:tr>
        <w:tblPrEx>
          <w:tblCellMar>
            <w:top w:w="0" w:type="dxa"/>
            <w:left w:w="0" w:type="dxa"/>
            <w:bottom w:w="0" w:type="dxa"/>
            <w:right w:w="0" w:type="dxa"/>
          </w:tblCellMar>
        </w:tblPrEx>
        <w:trPr>
          <w:trHeight w:val="273"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FF0000"/>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环境保护设施设计单位</w:t>
            </w:r>
          </w:p>
        </w:tc>
        <w:tc>
          <w:tcPr>
            <w:tcW w:w="328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c>
          <w:tcPr>
            <w:tcW w:w="2535"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环境保护设施施工单位</w:t>
            </w:r>
          </w:p>
        </w:tc>
        <w:tc>
          <w:tcPr>
            <w:tcW w:w="315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中交自贡城市建设发展有限公司</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本工程排污许可证编号</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73"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FF0000"/>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验收单位</w:t>
            </w:r>
          </w:p>
        </w:tc>
        <w:tc>
          <w:tcPr>
            <w:tcW w:w="328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中交自贡城市建设发展有限公司</w:t>
            </w:r>
          </w:p>
        </w:tc>
        <w:tc>
          <w:tcPr>
            <w:tcW w:w="2535"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环境保护设施调查单位</w:t>
            </w:r>
          </w:p>
        </w:tc>
        <w:tc>
          <w:tcPr>
            <w:tcW w:w="315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中交自贡城市建设发展有限公司</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验收调查时工况</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22"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FF0000"/>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投资总概算（万元）</w:t>
            </w:r>
          </w:p>
        </w:tc>
        <w:tc>
          <w:tcPr>
            <w:tcW w:w="516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35422.24</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环境保护投资总概算（万元）</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1550</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所占比例（%）</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4.4</w:t>
            </w: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23"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FF0000"/>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实际总投资（万元）</w:t>
            </w:r>
          </w:p>
        </w:tc>
        <w:tc>
          <w:tcPr>
            <w:tcW w:w="516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35422.24</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实际环境保护投资（万元）</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1550</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所占比例（%）</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4.4%</w:t>
            </w:r>
          </w:p>
        </w:tc>
      </w:tr>
      <w:tr>
        <w:tblPrEx>
          <w:tblCellMar>
            <w:top w:w="0" w:type="dxa"/>
            <w:left w:w="0" w:type="dxa"/>
            <w:bottom w:w="0" w:type="dxa"/>
            <w:right w:w="0" w:type="dxa"/>
          </w:tblCellMar>
        </w:tblPrEx>
        <w:trPr>
          <w:trHeight w:val="283" w:hRule="exact"/>
        </w:trPr>
        <w:tc>
          <w:tcPr>
            <w:tcW w:w="430" w:type="dxa"/>
            <w:vMerge w:val="continue"/>
            <w:tcBorders>
              <w:left w:val="single" w:color="000000" w:sz="8"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FF0000"/>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废水治理（万元）</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eastAsia" w:ascii="Times New Roman" w:hAnsi="Times New Roman" w:eastAsia="宋体" w:cs="Times New Roman"/>
                <w:b w:val="0"/>
                <w:bCs w:val="0"/>
                <w:color w:val="auto"/>
                <w:kern w:val="2"/>
                <w:sz w:val="15"/>
                <w:szCs w:val="15"/>
                <w:lang w:val="en-US" w:eastAsia="zh-CN" w:bidi="ar-SA"/>
              </w:rPr>
              <w:t>10</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default" w:ascii="Times New Roman" w:hAnsi="Times New Roman" w:eastAsia="宋体" w:cs="Times New Roman"/>
                <w:b w:val="0"/>
                <w:bCs w:val="0"/>
                <w:color w:val="auto"/>
                <w:kern w:val="2"/>
                <w:sz w:val="15"/>
                <w:szCs w:val="15"/>
                <w:lang w:val="en-US" w:eastAsia="zh-CN" w:bidi="ar-SA"/>
              </w:rPr>
              <w:t>废气治理（万元）</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kern w:val="2"/>
                <w:sz w:val="15"/>
                <w:szCs w:val="15"/>
                <w:lang w:val="en-US" w:eastAsia="zh-CN" w:bidi="ar-SA"/>
              </w:rPr>
            </w:pPr>
            <w:r>
              <w:rPr>
                <w:rFonts w:hint="eastAsia" w:ascii="Times New Roman" w:hAnsi="Times New Roman" w:eastAsia="宋体" w:cs="Times New Roman"/>
                <w:b w:val="0"/>
                <w:bCs w:val="0"/>
                <w:color w:val="auto"/>
                <w:kern w:val="2"/>
                <w:sz w:val="15"/>
                <w:szCs w:val="15"/>
                <w:lang w:val="en-US" w:eastAsia="zh-CN" w:bidi="ar-SA"/>
              </w:rPr>
              <w:t>180</w:t>
            </w:r>
          </w:p>
        </w:tc>
        <w:tc>
          <w:tcPr>
            <w:tcW w:w="133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噪声治理（万元）</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550</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固体废物治理（万元）</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202</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绿化及生态（万元）</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578</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其他（万元）</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30</w:t>
            </w:r>
          </w:p>
        </w:tc>
      </w:tr>
      <w:tr>
        <w:tblPrEx>
          <w:tblCellMar>
            <w:top w:w="0" w:type="dxa"/>
            <w:left w:w="0" w:type="dxa"/>
            <w:bottom w:w="0" w:type="dxa"/>
            <w:right w:w="0" w:type="dxa"/>
          </w:tblCellMar>
        </w:tblPrEx>
        <w:trPr>
          <w:trHeight w:val="218" w:hRule="exact"/>
        </w:trPr>
        <w:tc>
          <w:tcPr>
            <w:tcW w:w="430" w:type="dxa"/>
            <w:vMerge w:val="continue"/>
            <w:tcBorders>
              <w:left w:val="single" w:color="000000" w:sz="8" w:space="0"/>
              <w:bottom w:val="single" w:color="000000" w:sz="4" w:space="0"/>
              <w:right w:val="single" w:color="000000" w:sz="4" w:space="0"/>
            </w:tcBorders>
            <w:noWrap w:val="0"/>
            <w:textDirection w:val="tbRl"/>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FF0000"/>
              </w:rPr>
            </w:pPr>
          </w:p>
        </w:tc>
        <w:tc>
          <w:tcPr>
            <w:tcW w:w="181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新增废水处理设施能力</w:t>
            </w:r>
          </w:p>
        </w:tc>
        <w:tc>
          <w:tcPr>
            <w:tcW w:w="5168"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2196"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新增废气处理设施能力</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微软雅黑" w:cs="Times New Roman"/>
                <w:b w:val="0"/>
                <w:bCs w:val="0"/>
                <w:color w:val="auto"/>
                <w:sz w:val="15"/>
                <w:szCs w:val="15"/>
                <w:lang w:val="en-US" w:eastAsia="zh-CN"/>
              </w:rPr>
            </w:pPr>
            <w:r>
              <w:rPr>
                <w:rFonts w:hint="default" w:ascii="Times New Roman" w:hAnsi="Times New Roman" w:cs="Times New Roman"/>
                <w:b w:val="0"/>
                <w:bCs w:val="0"/>
                <w:color w:val="auto"/>
                <w:sz w:val="15"/>
                <w:szCs w:val="15"/>
                <w:lang w:val="en-US" w:eastAsia="zh-CN"/>
              </w:rPr>
              <w:t>/</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年平均工作时</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8760</w:t>
            </w:r>
          </w:p>
        </w:tc>
      </w:tr>
      <w:tr>
        <w:tblPrEx>
          <w:tblCellMar>
            <w:top w:w="0" w:type="dxa"/>
            <w:left w:w="0" w:type="dxa"/>
            <w:bottom w:w="0" w:type="dxa"/>
            <w:right w:w="0" w:type="dxa"/>
          </w:tblCellMar>
        </w:tblPrEx>
        <w:trPr>
          <w:trHeight w:val="250" w:hRule="exact"/>
        </w:trPr>
        <w:tc>
          <w:tcPr>
            <w:tcW w:w="2244" w:type="dxa"/>
            <w:gridSpan w:val="3"/>
            <w:tcBorders>
              <w:top w:val="single" w:color="000000" w:sz="4" w:space="0"/>
              <w:left w:val="single" w:color="000000" w:sz="8"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运营单位</w:t>
            </w:r>
          </w:p>
        </w:tc>
        <w:tc>
          <w:tcPr>
            <w:tcW w:w="4009"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中交自贡城市建设发展有限公司</w:t>
            </w:r>
          </w:p>
        </w:tc>
        <w:tc>
          <w:tcPr>
            <w:tcW w:w="3355"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运营单位社会统一信用代码（或组织机构代码）</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91510322450950070H</w:t>
            </w:r>
          </w:p>
        </w:tc>
        <w:tc>
          <w:tcPr>
            <w:tcW w:w="15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验收时间</w:t>
            </w:r>
          </w:p>
        </w:tc>
        <w:tc>
          <w:tcPr>
            <w:tcW w:w="2370" w:type="dxa"/>
            <w:gridSpan w:val="3"/>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p>
        </w:tc>
      </w:tr>
      <w:tr>
        <w:tblPrEx>
          <w:tblCellMar>
            <w:top w:w="0" w:type="dxa"/>
            <w:left w:w="0" w:type="dxa"/>
            <w:bottom w:w="0" w:type="dxa"/>
            <w:right w:w="0" w:type="dxa"/>
          </w:tblCellMar>
        </w:tblPrEx>
        <w:trPr>
          <w:trHeight w:val="347" w:hRule="exact"/>
        </w:trPr>
        <w:tc>
          <w:tcPr>
            <w:tcW w:w="596" w:type="dxa"/>
            <w:gridSpan w:val="2"/>
            <w:vMerge w:val="restart"/>
            <w:tcBorders>
              <w:top w:val="single" w:color="000000" w:sz="4" w:space="0"/>
              <w:left w:val="single" w:color="000000" w:sz="8"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污</w:t>
            </w:r>
            <w:r>
              <w:rPr>
                <w:rFonts w:hint="default" w:ascii="Times New Roman" w:hAnsi="Times New Roman" w:eastAsia="黑体" w:cs="Times New Roman"/>
                <w:b w:val="0"/>
                <w:bCs w:val="0"/>
                <w:color w:val="auto"/>
                <w:spacing w:val="-36"/>
                <w:sz w:val="15"/>
                <w:szCs w:val="15"/>
              </w:rPr>
              <w:t xml:space="preserve"> </w:t>
            </w:r>
            <w:r>
              <w:rPr>
                <w:rFonts w:hint="default" w:ascii="Times New Roman" w:hAnsi="Times New Roman" w:eastAsia="黑体" w:cs="Times New Roman"/>
                <w:b w:val="0"/>
                <w:bCs w:val="0"/>
                <w:color w:val="auto"/>
                <w:sz w:val="15"/>
                <w:szCs w:val="15"/>
              </w:rPr>
              <w:t>染</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物</w:t>
            </w:r>
            <w:r>
              <w:rPr>
                <w:rFonts w:hint="default" w:ascii="Times New Roman" w:hAnsi="Times New Roman" w:eastAsia="黑体" w:cs="Times New Roman"/>
                <w:b w:val="0"/>
                <w:bCs w:val="0"/>
                <w:color w:val="auto"/>
                <w:spacing w:val="-36"/>
                <w:sz w:val="15"/>
                <w:szCs w:val="15"/>
              </w:rPr>
              <w:t xml:space="preserve"> </w:t>
            </w:r>
            <w:r>
              <w:rPr>
                <w:rFonts w:hint="default" w:ascii="Times New Roman" w:hAnsi="Times New Roman" w:eastAsia="黑体" w:cs="Times New Roman"/>
                <w:b w:val="0"/>
                <w:bCs w:val="0"/>
                <w:color w:val="auto"/>
                <w:sz w:val="15"/>
                <w:szCs w:val="15"/>
              </w:rPr>
              <w:t>排</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放</w:t>
            </w:r>
            <w:r>
              <w:rPr>
                <w:rFonts w:hint="default" w:ascii="Times New Roman" w:hAnsi="Times New Roman" w:eastAsia="黑体" w:cs="Times New Roman"/>
                <w:b w:val="0"/>
                <w:bCs w:val="0"/>
                <w:color w:val="auto"/>
                <w:spacing w:val="-36"/>
                <w:sz w:val="15"/>
                <w:szCs w:val="15"/>
              </w:rPr>
              <w:t xml:space="preserve"> </w:t>
            </w:r>
            <w:r>
              <w:rPr>
                <w:rFonts w:hint="default" w:ascii="Times New Roman" w:hAnsi="Times New Roman" w:eastAsia="黑体" w:cs="Times New Roman"/>
                <w:b w:val="0"/>
                <w:bCs w:val="0"/>
                <w:color w:val="auto"/>
                <w:sz w:val="15"/>
                <w:szCs w:val="15"/>
              </w:rPr>
              <w:t>达</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标</w:t>
            </w:r>
            <w:r>
              <w:rPr>
                <w:rFonts w:hint="default" w:ascii="Times New Roman" w:hAnsi="Times New Roman" w:eastAsia="黑体" w:cs="Times New Roman"/>
                <w:b w:val="0"/>
                <w:bCs w:val="0"/>
                <w:color w:val="auto"/>
                <w:spacing w:val="-36"/>
                <w:sz w:val="15"/>
                <w:szCs w:val="15"/>
              </w:rPr>
              <w:t xml:space="preserve"> </w:t>
            </w:r>
            <w:r>
              <w:rPr>
                <w:rFonts w:hint="default" w:ascii="Times New Roman" w:hAnsi="Times New Roman" w:eastAsia="黑体" w:cs="Times New Roman"/>
                <w:b w:val="0"/>
                <w:bCs w:val="0"/>
                <w:color w:val="auto"/>
                <w:sz w:val="15"/>
                <w:szCs w:val="15"/>
              </w:rPr>
              <w:t>与</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总</w:t>
            </w:r>
            <w:r>
              <w:rPr>
                <w:rFonts w:hint="default" w:ascii="Times New Roman" w:hAnsi="Times New Roman" w:eastAsia="黑体" w:cs="Times New Roman"/>
                <w:b w:val="0"/>
                <w:bCs w:val="0"/>
                <w:color w:val="auto"/>
                <w:spacing w:val="-36"/>
                <w:sz w:val="15"/>
                <w:szCs w:val="15"/>
              </w:rPr>
              <w:t xml:space="preserve"> </w:t>
            </w:r>
            <w:r>
              <w:rPr>
                <w:rFonts w:hint="default" w:ascii="Times New Roman" w:hAnsi="Times New Roman" w:eastAsia="黑体" w:cs="Times New Roman"/>
                <w:b w:val="0"/>
                <w:bCs w:val="0"/>
                <w:color w:val="auto"/>
                <w:sz w:val="15"/>
                <w:szCs w:val="15"/>
              </w:rPr>
              <w:t>量</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控</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制</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w:t>
            </w:r>
            <w:r>
              <w:rPr>
                <w:rFonts w:hint="default" w:ascii="Times New Roman" w:hAnsi="Times New Roman" w:eastAsia="黑体" w:cs="Times New Roman"/>
                <w:b w:val="0"/>
                <w:bCs w:val="0"/>
                <w:color w:val="auto"/>
                <w:spacing w:val="-36"/>
                <w:sz w:val="15"/>
                <w:szCs w:val="15"/>
              </w:rPr>
              <w:t xml:space="preserve"> </w:t>
            </w:r>
            <w:r>
              <w:rPr>
                <w:rFonts w:hint="default" w:ascii="Times New Roman" w:hAnsi="Times New Roman" w:eastAsia="黑体" w:cs="Times New Roman"/>
                <w:b w:val="0"/>
                <w:bCs w:val="0"/>
                <w:color w:val="auto"/>
                <w:sz w:val="15"/>
                <w:szCs w:val="15"/>
              </w:rPr>
              <w:t>工</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业</w:t>
            </w:r>
            <w:r>
              <w:rPr>
                <w:rFonts w:hint="default" w:ascii="Times New Roman" w:hAnsi="Times New Roman" w:eastAsia="黑体" w:cs="Times New Roman"/>
                <w:b w:val="0"/>
                <w:bCs w:val="0"/>
                <w:color w:val="auto"/>
                <w:spacing w:val="-36"/>
                <w:sz w:val="15"/>
                <w:szCs w:val="15"/>
              </w:rPr>
              <w:t xml:space="preserve"> </w:t>
            </w:r>
            <w:r>
              <w:rPr>
                <w:rFonts w:hint="default" w:ascii="Times New Roman" w:hAnsi="Times New Roman" w:eastAsia="黑体" w:cs="Times New Roman"/>
                <w:b w:val="0"/>
                <w:bCs w:val="0"/>
                <w:color w:val="auto"/>
                <w:sz w:val="15"/>
                <w:szCs w:val="15"/>
              </w:rPr>
              <w:t>建</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设</w:t>
            </w:r>
            <w:r>
              <w:rPr>
                <w:rFonts w:hint="default" w:ascii="Times New Roman" w:hAnsi="Times New Roman" w:eastAsia="黑体" w:cs="Times New Roman"/>
                <w:b w:val="0"/>
                <w:bCs w:val="0"/>
                <w:color w:val="auto"/>
                <w:spacing w:val="-36"/>
                <w:sz w:val="15"/>
                <w:szCs w:val="15"/>
              </w:rPr>
              <w:t xml:space="preserve"> </w:t>
            </w:r>
            <w:r>
              <w:rPr>
                <w:rFonts w:hint="default" w:ascii="Times New Roman" w:hAnsi="Times New Roman" w:eastAsia="黑体" w:cs="Times New Roman"/>
                <w:b w:val="0"/>
                <w:bCs w:val="0"/>
                <w:color w:val="auto"/>
                <w:sz w:val="15"/>
                <w:szCs w:val="15"/>
              </w:rPr>
              <w:t>项</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目</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详</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填</w:t>
            </w:r>
            <w:r>
              <w:rPr>
                <w:rFonts w:hint="default" w:ascii="Times New Roman" w:hAnsi="Times New Roman" w:eastAsia="黑体" w:cs="Times New Roman"/>
                <w:b w:val="0"/>
                <w:bCs w:val="0"/>
                <w:color w:val="auto"/>
                <w:spacing w:val="-39"/>
                <w:sz w:val="15"/>
                <w:szCs w:val="15"/>
              </w:rPr>
              <w:t xml:space="preserve"> </w:t>
            </w:r>
            <w:r>
              <w:rPr>
                <w:rFonts w:hint="default" w:ascii="Times New Roman" w:hAnsi="Times New Roman" w:eastAsia="黑体" w:cs="Times New Roman"/>
                <w:b w:val="0"/>
                <w:bCs w:val="0"/>
                <w:color w:val="auto"/>
                <w:sz w:val="15"/>
                <w:szCs w:val="15"/>
              </w:rPr>
              <w:t>）</w:t>
            </w: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污染物</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原有排</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放量</w:t>
            </w:r>
            <w:r>
              <w:rPr>
                <w:rFonts w:hint="default" w:ascii="Times New Roman" w:hAnsi="Times New Roman" w:eastAsia="Times New Roman" w:cs="Times New Roman"/>
                <w:b w:val="0"/>
                <w:bCs w:val="0"/>
                <w:color w:val="auto"/>
                <w:sz w:val="15"/>
                <w:szCs w:val="15"/>
              </w:rPr>
              <w:t>(1)</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pacing w:val="8"/>
                <w:sz w:val="15"/>
                <w:szCs w:val="15"/>
              </w:rPr>
              <w:t>本期工程实际排放</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浓度</w:t>
            </w:r>
            <w:r>
              <w:rPr>
                <w:rFonts w:hint="default" w:ascii="Times New Roman" w:hAnsi="Times New Roman" w:eastAsia="Times New Roman" w:cs="Times New Roman"/>
                <w:b w:val="0"/>
                <w:bCs w:val="0"/>
                <w:color w:val="auto"/>
                <w:sz w:val="15"/>
                <w:szCs w:val="15"/>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本</w:t>
            </w:r>
            <w:r>
              <w:rPr>
                <w:rFonts w:hint="default" w:ascii="Times New Roman" w:hAnsi="Times New Roman" w:eastAsia="宋体" w:cs="Times New Roman"/>
                <w:b w:val="0"/>
                <w:bCs w:val="0"/>
                <w:color w:val="auto"/>
                <w:spacing w:val="-61"/>
                <w:sz w:val="15"/>
                <w:szCs w:val="15"/>
              </w:rPr>
              <w:t xml:space="preserve"> </w:t>
            </w:r>
            <w:r>
              <w:rPr>
                <w:rFonts w:hint="default" w:ascii="Times New Roman" w:hAnsi="Times New Roman" w:eastAsia="宋体" w:cs="Times New Roman"/>
                <w:b w:val="0"/>
                <w:bCs w:val="0"/>
                <w:color w:val="auto"/>
                <w:spacing w:val="8"/>
                <w:sz w:val="15"/>
                <w:szCs w:val="15"/>
              </w:rPr>
              <w:t>期工</w:t>
            </w:r>
            <w:r>
              <w:rPr>
                <w:rFonts w:hint="default" w:ascii="Times New Roman" w:hAnsi="Times New Roman" w:eastAsia="宋体" w:cs="Times New Roman"/>
                <w:b w:val="0"/>
                <w:bCs w:val="0"/>
                <w:color w:val="auto"/>
                <w:spacing w:val="-61"/>
                <w:sz w:val="15"/>
                <w:szCs w:val="15"/>
              </w:rPr>
              <w:t xml:space="preserve"> </w:t>
            </w:r>
            <w:r>
              <w:rPr>
                <w:rFonts w:hint="default" w:ascii="Times New Roman" w:hAnsi="Times New Roman" w:eastAsia="宋体" w:cs="Times New Roman"/>
                <w:b w:val="0"/>
                <w:bCs w:val="0"/>
                <w:color w:val="auto"/>
                <w:sz w:val="15"/>
                <w:szCs w:val="15"/>
              </w:rPr>
              <w:t>程</w:t>
            </w:r>
            <w:r>
              <w:rPr>
                <w:rFonts w:hint="default" w:ascii="Times New Roman" w:hAnsi="Times New Roman" w:eastAsia="宋体" w:cs="Times New Roman"/>
                <w:b w:val="0"/>
                <w:bCs w:val="0"/>
                <w:color w:val="auto"/>
                <w:spacing w:val="-61"/>
                <w:sz w:val="15"/>
                <w:szCs w:val="15"/>
              </w:rPr>
              <w:t xml:space="preserve"> </w:t>
            </w:r>
            <w:r>
              <w:rPr>
                <w:rFonts w:hint="default" w:ascii="Times New Roman" w:hAnsi="Times New Roman" w:eastAsia="宋体" w:cs="Times New Roman"/>
                <w:b w:val="0"/>
                <w:bCs w:val="0"/>
                <w:color w:val="auto"/>
                <w:spacing w:val="8"/>
                <w:sz w:val="15"/>
                <w:szCs w:val="15"/>
              </w:rPr>
              <w:t>允许</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排放浓度</w:t>
            </w:r>
            <w:r>
              <w:rPr>
                <w:rFonts w:hint="default" w:ascii="Times New Roman" w:hAnsi="Times New Roman" w:eastAsia="Times New Roman" w:cs="Times New Roman"/>
                <w:b w:val="0"/>
                <w:bCs w:val="0"/>
                <w:color w:val="auto"/>
                <w:sz w:val="15"/>
                <w:szCs w:val="15"/>
              </w:rPr>
              <w:t>(3)</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本</w:t>
            </w:r>
            <w:r>
              <w:rPr>
                <w:rFonts w:hint="default" w:ascii="Times New Roman" w:hAnsi="Times New Roman" w:eastAsia="宋体" w:cs="Times New Roman"/>
                <w:b w:val="0"/>
                <w:bCs w:val="0"/>
                <w:color w:val="auto"/>
                <w:spacing w:val="-45"/>
                <w:sz w:val="15"/>
                <w:szCs w:val="15"/>
              </w:rPr>
              <w:t xml:space="preserve"> </w:t>
            </w:r>
            <w:r>
              <w:rPr>
                <w:rFonts w:hint="default" w:ascii="Times New Roman" w:hAnsi="Times New Roman" w:eastAsia="宋体" w:cs="Times New Roman"/>
                <w:b w:val="0"/>
                <w:bCs w:val="0"/>
                <w:color w:val="auto"/>
                <w:sz w:val="15"/>
                <w:szCs w:val="15"/>
              </w:rPr>
              <w:t>期</w:t>
            </w:r>
            <w:r>
              <w:rPr>
                <w:rFonts w:hint="default" w:ascii="Times New Roman" w:hAnsi="Times New Roman" w:eastAsia="宋体" w:cs="Times New Roman"/>
                <w:b w:val="0"/>
                <w:bCs w:val="0"/>
                <w:color w:val="auto"/>
                <w:spacing w:val="-45"/>
                <w:sz w:val="15"/>
                <w:szCs w:val="15"/>
              </w:rPr>
              <w:t xml:space="preserve"> </w:t>
            </w:r>
            <w:r>
              <w:rPr>
                <w:rFonts w:hint="default" w:ascii="Times New Roman" w:hAnsi="Times New Roman" w:eastAsia="宋体" w:cs="Times New Roman"/>
                <w:b w:val="0"/>
                <w:bCs w:val="0"/>
                <w:color w:val="auto"/>
                <w:sz w:val="15"/>
                <w:szCs w:val="15"/>
              </w:rPr>
              <w:t>工</w:t>
            </w:r>
            <w:r>
              <w:rPr>
                <w:rFonts w:hint="default" w:ascii="Times New Roman" w:hAnsi="Times New Roman" w:eastAsia="宋体" w:cs="Times New Roman"/>
                <w:b w:val="0"/>
                <w:bCs w:val="0"/>
                <w:color w:val="auto"/>
                <w:spacing w:val="-43"/>
                <w:sz w:val="15"/>
                <w:szCs w:val="15"/>
              </w:rPr>
              <w:t xml:space="preserve"> </w:t>
            </w:r>
            <w:r>
              <w:rPr>
                <w:rFonts w:hint="default" w:ascii="Times New Roman" w:hAnsi="Times New Roman" w:eastAsia="宋体" w:cs="Times New Roman"/>
                <w:b w:val="0"/>
                <w:bCs w:val="0"/>
                <w:color w:val="auto"/>
                <w:sz w:val="15"/>
                <w:szCs w:val="15"/>
              </w:rPr>
              <w:t>程</w:t>
            </w:r>
            <w:r>
              <w:rPr>
                <w:rFonts w:hint="default" w:ascii="Times New Roman" w:hAnsi="Times New Roman" w:eastAsia="宋体" w:cs="Times New Roman"/>
                <w:b w:val="0"/>
                <w:bCs w:val="0"/>
                <w:color w:val="auto"/>
                <w:spacing w:val="-45"/>
                <w:sz w:val="15"/>
                <w:szCs w:val="15"/>
              </w:rPr>
              <w:t xml:space="preserve"> </w:t>
            </w:r>
            <w:r>
              <w:rPr>
                <w:rFonts w:hint="default" w:ascii="Times New Roman" w:hAnsi="Times New Roman" w:eastAsia="宋体" w:cs="Times New Roman"/>
                <w:b w:val="0"/>
                <w:bCs w:val="0"/>
                <w:color w:val="auto"/>
                <w:sz w:val="15"/>
                <w:szCs w:val="15"/>
              </w:rPr>
              <w:t>产</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生量</w:t>
            </w:r>
            <w:r>
              <w:rPr>
                <w:rFonts w:hint="default" w:ascii="Times New Roman" w:hAnsi="Times New Roman" w:eastAsia="Times New Roman" w:cs="Times New Roman"/>
                <w:b w:val="0"/>
                <w:bCs w:val="0"/>
                <w:color w:val="auto"/>
                <w:sz w:val="15"/>
                <w:szCs w:val="15"/>
              </w:rPr>
              <w:t>(4)</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本</w:t>
            </w:r>
            <w:r>
              <w:rPr>
                <w:rFonts w:hint="default" w:ascii="Times New Roman" w:hAnsi="Times New Roman" w:eastAsia="宋体" w:cs="Times New Roman"/>
                <w:b w:val="0"/>
                <w:bCs w:val="0"/>
                <w:color w:val="auto"/>
                <w:spacing w:val="-60"/>
                <w:sz w:val="15"/>
                <w:szCs w:val="15"/>
              </w:rPr>
              <w:t xml:space="preserve"> </w:t>
            </w:r>
            <w:r>
              <w:rPr>
                <w:rFonts w:hint="default" w:ascii="Times New Roman" w:hAnsi="Times New Roman" w:eastAsia="宋体" w:cs="Times New Roman"/>
                <w:b w:val="0"/>
                <w:bCs w:val="0"/>
                <w:color w:val="auto"/>
                <w:sz w:val="15"/>
                <w:szCs w:val="15"/>
              </w:rPr>
              <w:t>期</w:t>
            </w:r>
            <w:r>
              <w:rPr>
                <w:rFonts w:hint="default" w:ascii="Times New Roman" w:hAnsi="Times New Roman" w:eastAsia="宋体" w:cs="Times New Roman"/>
                <w:b w:val="0"/>
                <w:bCs w:val="0"/>
                <w:color w:val="auto"/>
                <w:spacing w:val="-60"/>
                <w:sz w:val="15"/>
                <w:szCs w:val="15"/>
              </w:rPr>
              <w:t xml:space="preserve"> </w:t>
            </w:r>
            <w:r>
              <w:rPr>
                <w:rFonts w:hint="default" w:ascii="Times New Roman" w:hAnsi="Times New Roman" w:eastAsia="宋体" w:cs="Times New Roman"/>
                <w:b w:val="0"/>
                <w:bCs w:val="0"/>
                <w:color w:val="auto"/>
                <w:spacing w:val="8"/>
                <w:sz w:val="15"/>
                <w:szCs w:val="15"/>
              </w:rPr>
              <w:t>工程</w:t>
            </w:r>
            <w:r>
              <w:rPr>
                <w:rFonts w:hint="default" w:ascii="Times New Roman" w:hAnsi="Times New Roman" w:eastAsia="宋体" w:cs="Times New Roman"/>
                <w:b w:val="0"/>
                <w:bCs w:val="0"/>
                <w:color w:val="auto"/>
                <w:spacing w:val="-60"/>
                <w:sz w:val="15"/>
                <w:szCs w:val="15"/>
              </w:rPr>
              <w:t xml:space="preserve"> </w:t>
            </w:r>
            <w:r>
              <w:rPr>
                <w:rFonts w:hint="default" w:ascii="Times New Roman" w:hAnsi="Times New Roman" w:eastAsia="宋体" w:cs="Times New Roman"/>
                <w:b w:val="0"/>
                <w:bCs w:val="0"/>
                <w:color w:val="auto"/>
                <w:sz w:val="15"/>
                <w:szCs w:val="15"/>
              </w:rPr>
              <w:t>自</w:t>
            </w:r>
            <w:r>
              <w:rPr>
                <w:rFonts w:hint="default" w:ascii="Times New Roman" w:hAnsi="Times New Roman" w:eastAsia="宋体" w:cs="Times New Roman"/>
                <w:b w:val="0"/>
                <w:bCs w:val="0"/>
                <w:color w:val="auto"/>
                <w:spacing w:val="-60"/>
                <w:sz w:val="15"/>
                <w:szCs w:val="15"/>
              </w:rPr>
              <w:t xml:space="preserve"> </w:t>
            </w:r>
            <w:r>
              <w:rPr>
                <w:rFonts w:hint="default" w:ascii="Times New Roman" w:hAnsi="Times New Roman" w:eastAsia="宋体" w:cs="Times New Roman"/>
                <w:b w:val="0"/>
                <w:bCs w:val="0"/>
                <w:color w:val="auto"/>
                <w:sz w:val="15"/>
                <w:szCs w:val="15"/>
              </w:rPr>
              <w:t>身</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削减量</w:t>
            </w:r>
            <w:r>
              <w:rPr>
                <w:rFonts w:hint="default" w:ascii="Times New Roman" w:hAnsi="Times New Roman" w:eastAsia="Times New Roman" w:cs="Times New Roman"/>
                <w:b w:val="0"/>
                <w:bCs w:val="0"/>
                <w:color w:val="auto"/>
                <w:sz w:val="15"/>
                <w:szCs w:val="15"/>
              </w:rPr>
              <w:t>(5)</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本</w:t>
            </w:r>
            <w:r>
              <w:rPr>
                <w:rFonts w:hint="default" w:ascii="Times New Roman" w:hAnsi="Times New Roman" w:eastAsia="宋体" w:cs="Times New Roman"/>
                <w:b w:val="0"/>
                <w:bCs w:val="0"/>
                <w:color w:val="auto"/>
                <w:spacing w:val="-52"/>
                <w:sz w:val="15"/>
                <w:szCs w:val="15"/>
              </w:rPr>
              <w:t xml:space="preserve"> </w:t>
            </w:r>
            <w:r>
              <w:rPr>
                <w:rFonts w:hint="default" w:ascii="Times New Roman" w:hAnsi="Times New Roman" w:eastAsia="宋体" w:cs="Times New Roman"/>
                <w:b w:val="0"/>
                <w:bCs w:val="0"/>
                <w:color w:val="auto"/>
                <w:sz w:val="15"/>
                <w:szCs w:val="15"/>
              </w:rPr>
              <w:t>期</w:t>
            </w:r>
            <w:r>
              <w:rPr>
                <w:rFonts w:hint="default" w:ascii="Times New Roman" w:hAnsi="Times New Roman" w:eastAsia="宋体" w:cs="Times New Roman"/>
                <w:b w:val="0"/>
                <w:bCs w:val="0"/>
                <w:color w:val="auto"/>
                <w:spacing w:val="-52"/>
                <w:sz w:val="15"/>
                <w:szCs w:val="15"/>
              </w:rPr>
              <w:t xml:space="preserve"> </w:t>
            </w:r>
            <w:r>
              <w:rPr>
                <w:rFonts w:hint="default" w:ascii="Times New Roman" w:hAnsi="Times New Roman" w:eastAsia="宋体" w:cs="Times New Roman"/>
                <w:b w:val="0"/>
                <w:bCs w:val="0"/>
                <w:color w:val="auto"/>
                <w:sz w:val="15"/>
                <w:szCs w:val="15"/>
              </w:rPr>
              <w:t>工</w:t>
            </w:r>
            <w:r>
              <w:rPr>
                <w:rFonts w:hint="default" w:ascii="Times New Roman" w:hAnsi="Times New Roman" w:eastAsia="宋体" w:cs="Times New Roman"/>
                <w:b w:val="0"/>
                <w:bCs w:val="0"/>
                <w:color w:val="auto"/>
                <w:spacing w:val="-52"/>
                <w:sz w:val="15"/>
                <w:szCs w:val="15"/>
              </w:rPr>
              <w:t xml:space="preserve"> </w:t>
            </w:r>
            <w:r>
              <w:rPr>
                <w:rFonts w:hint="default" w:ascii="Times New Roman" w:hAnsi="Times New Roman" w:eastAsia="宋体" w:cs="Times New Roman"/>
                <w:b w:val="0"/>
                <w:bCs w:val="0"/>
                <w:color w:val="auto"/>
                <w:sz w:val="15"/>
                <w:szCs w:val="15"/>
              </w:rPr>
              <w:t>程</w:t>
            </w:r>
            <w:r>
              <w:rPr>
                <w:rFonts w:hint="default" w:ascii="Times New Roman" w:hAnsi="Times New Roman" w:eastAsia="宋体" w:cs="Times New Roman"/>
                <w:b w:val="0"/>
                <w:bCs w:val="0"/>
                <w:color w:val="auto"/>
                <w:spacing w:val="-52"/>
                <w:sz w:val="15"/>
                <w:szCs w:val="15"/>
              </w:rPr>
              <w:t xml:space="preserve"> </w:t>
            </w:r>
            <w:r>
              <w:rPr>
                <w:rFonts w:hint="default" w:ascii="Times New Roman" w:hAnsi="Times New Roman" w:eastAsia="宋体" w:cs="Times New Roman"/>
                <w:b w:val="0"/>
                <w:bCs w:val="0"/>
                <w:color w:val="auto"/>
                <w:sz w:val="15"/>
                <w:szCs w:val="15"/>
              </w:rPr>
              <w:t>实</w:t>
            </w:r>
            <w:r>
              <w:rPr>
                <w:rFonts w:hint="default" w:ascii="Times New Roman" w:hAnsi="Times New Roman" w:eastAsia="宋体" w:cs="Times New Roman"/>
                <w:b w:val="0"/>
                <w:bCs w:val="0"/>
                <w:color w:val="auto"/>
                <w:spacing w:val="-52"/>
                <w:sz w:val="15"/>
                <w:szCs w:val="15"/>
              </w:rPr>
              <w:t xml:space="preserve"> </w:t>
            </w:r>
            <w:r>
              <w:rPr>
                <w:rFonts w:hint="default" w:ascii="Times New Roman" w:hAnsi="Times New Roman" w:eastAsia="宋体" w:cs="Times New Roman"/>
                <w:b w:val="0"/>
                <w:bCs w:val="0"/>
                <w:color w:val="auto"/>
                <w:sz w:val="15"/>
                <w:szCs w:val="15"/>
              </w:rPr>
              <w:t>际</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排放量</w:t>
            </w:r>
            <w:r>
              <w:rPr>
                <w:rFonts w:hint="default" w:ascii="Times New Roman" w:hAnsi="Times New Roman" w:eastAsia="Times New Roman" w:cs="Times New Roman"/>
                <w:b w:val="0"/>
                <w:bCs w:val="0"/>
                <w:color w:val="auto"/>
                <w:sz w:val="15"/>
                <w:szCs w:val="15"/>
              </w:rPr>
              <w:t>(6)</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本期工程核定排</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放总量</w:t>
            </w:r>
            <w:r>
              <w:rPr>
                <w:rFonts w:hint="default" w:ascii="Times New Roman" w:hAnsi="Times New Roman" w:eastAsia="Times New Roman" w:cs="Times New Roman"/>
                <w:b w:val="0"/>
                <w:bCs w:val="0"/>
                <w:color w:val="auto"/>
                <w:sz w:val="15"/>
                <w:szCs w:val="15"/>
              </w:rPr>
              <w:t>(7)</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本期工程“ 以新带老”</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削减量(8)</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pacing w:val="3"/>
                <w:sz w:val="15"/>
                <w:szCs w:val="15"/>
              </w:rPr>
              <w:t>全厂实际排放</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总量</w:t>
            </w:r>
            <w:r>
              <w:rPr>
                <w:rFonts w:hint="default" w:ascii="Times New Roman" w:hAnsi="Times New Roman" w:eastAsia="Times New Roman" w:cs="Times New Roman"/>
                <w:b w:val="0"/>
                <w:bCs w:val="0"/>
                <w:color w:val="auto"/>
                <w:sz w:val="15"/>
                <w:szCs w:val="15"/>
              </w:rPr>
              <w:t>(9)</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pacing w:val="12"/>
                <w:sz w:val="15"/>
                <w:szCs w:val="15"/>
              </w:rPr>
              <w:t>全厂核定排放总</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量</w:t>
            </w:r>
            <w:r>
              <w:rPr>
                <w:rFonts w:hint="default" w:ascii="Times New Roman" w:hAnsi="Times New Roman" w:eastAsia="Times New Roman" w:cs="Times New Roman"/>
                <w:b w:val="0"/>
                <w:bCs w:val="0"/>
                <w:color w:val="auto"/>
                <w:sz w:val="15"/>
                <w:szCs w:val="15"/>
              </w:rPr>
              <w:t>(10)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区</w:t>
            </w:r>
            <w:r>
              <w:rPr>
                <w:rFonts w:hint="default" w:ascii="Times New Roman" w:hAnsi="Times New Roman" w:eastAsia="宋体" w:cs="Times New Roman"/>
                <w:b w:val="0"/>
                <w:bCs w:val="0"/>
                <w:color w:val="auto"/>
                <w:spacing w:val="-59"/>
                <w:sz w:val="15"/>
                <w:szCs w:val="15"/>
              </w:rPr>
              <w:t xml:space="preserve"> </w:t>
            </w:r>
            <w:r>
              <w:rPr>
                <w:rFonts w:hint="default" w:ascii="Times New Roman" w:hAnsi="Times New Roman" w:eastAsia="宋体" w:cs="Times New Roman"/>
                <w:b w:val="0"/>
                <w:bCs w:val="0"/>
                <w:color w:val="auto"/>
                <w:sz w:val="15"/>
                <w:szCs w:val="15"/>
              </w:rPr>
              <w:t>域</w:t>
            </w:r>
            <w:r>
              <w:rPr>
                <w:rFonts w:hint="default" w:ascii="Times New Roman" w:hAnsi="Times New Roman" w:eastAsia="宋体" w:cs="Times New Roman"/>
                <w:b w:val="0"/>
                <w:bCs w:val="0"/>
                <w:color w:val="auto"/>
                <w:spacing w:val="-59"/>
                <w:sz w:val="15"/>
                <w:szCs w:val="15"/>
              </w:rPr>
              <w:t xml:space="preserve"> </w:t>
            </w:r>
            <w:r>
              <w:rPr>
                <w:rFonts w:hint="default" w:ascii="Times New Roman" w:hAnsi="Times New Roman" w:eastAsia="宋体" w:cs="Times New Roman"/>
                <w:b w:val="0"/>
                <w:bCs w:val="0"/>
                <w:color w:val="auto"/>
                <w:sz w:val="15"/>
                <w:szCs w:val="15"/>
              </w:rPr>
              <w:t>平</w:t>
            </w:r>
            <w:r>
              <w:rPr>
                <w:rFonts w:hint="default" w:ascii="Times New Roman" w:hAnsi="Times New Roman" w:eastAsia="宋体" w:cs="Times New Roman"/>
                <w:b w:val="0"/>
                <w:bCs w:val="0"/>
                <w:color w:val="auto"/>
                <w:spacing w:val="-59"/>
                <w:sz w:val="15"/>
                <w:szCs w:val="15"/>
              </w:rPr>
              <w:t xml:space="preserve"> </w:t>
            </w:r>
            <w:r>
              <w:rPr>
                <w:rFonts w:hint="default" w:ascii="Times New Roman" w:hAnsi="Times New Roman" w:eastAsia="宋体" w:cs="Times New Roman"/>
                <w:b w:val="0"/>
                <w:bCs w:val="0"/>
                <w:color w:val="auto"/>
                <w:sz w:val="15"/>
                <w:szCs w:val="15"/>
              </w:rPr>
              <w:t>衡</w:t>
            </w:r>
            <w:r>
              <w:rPr>
                <w:rFonts w:hint="default" w:ascii="Times New Roman" w:hAnsi="Times New Roman" w:eastAsia="宋体" w:cs="Times New Roman"/>
                <w:b w:val="0"/>
                <w:bCs w:val="0"/>
                <w:color w:val="auto"/>
                <w:spacing w:val="-59"/>
                <w:sz w:val="15"/>
                <w:szCs w:val="15"/>
              </w:rPr>
              <w:t xml:space="preserve"> </w:t>
            </w:r>
            <w:r>
              <w:rPr>
                <w:rFonts w:hint="default" w:ascii="Times New Roman" w:hAnsi="Times New Roman" w:eastAsia="宋体" w:cs="Times New Roman"/>
                <w:b w:val="0"/>
                <w:bCs w:val="0"/>
                <w:color w:val="auto"/>
                <w:sz w:val="15"/>
                <w:szCs w:val="15"/>
              </w:rPr>
              <w:t>替</w:t>
            </w:r>
            <w:r>
              <w:rPr>
                <w:rFonts w:hint="default" w:ascii="Times New Roman" w:hAnsi="Times New Roman" w:eastAsia="宋体" w:cs="Times New Roman"/>
                <w:b w:val="0"/>
                <w:bCs w:val="0"/>
                <w:color w:val="auto"/>
                <w:spacing w:val="-59"/>
                <w:sz w:val="15"/>
                <w:szCs w:val="15"/>
              </w:rPr>
              <w:t xml:space="preserve"> </w:t>
            </w:r>
            <w:r>
              <w:rPr>
                <w:rFonts w:hint="default" w:ascii="Times New Roman" w:hAnsi="Times New Roman" w:eastAsia="宋体" w:cs="Times New Roman"/>
                <w:b w:val="0"/>
                <w:bCs w:val="0"/>
                <w:color w:val="auto"/>
                <w:sz w:val="15"/>
                <w:szCs w:val="15"/>
              </w:rPr>
              <w:t>代</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削减量</w:t>
            </w:r>
            <w:r>
              <w:rPr>
                <w:rFonts w:hint="default" w:ascii="Times New Roman" w:hAnsi="Times New Roman" w:eastAsia="Times New Roman" w:cs="Times New Roman"/>
                <w:b w:val="0"/>
                <w:bCs w:val="0"/>
                <w:color w:val="auto"/>
                <w:sz w:val="15"/>
                <w:szCs w:val="15"/>
              </w:rPr>
              <w:t>(11)</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排</w:t>
            </w:r>
            <w:r>
              <w:rPr>
                <w:rFonts w:hint="default" w:ascii="Times New Roman" w:hAnsi="Times New Roman" w:eastAsia="宋体" w:cs="Times New Roman"/>
                <w:b w:val="0"/>
                <w:bCs w:val="0"/>
                <w:color w:val="auto"/>
                <w:spacing w:val="-50"/>
                <w:sz w:val="15"/>
                <w:szCs w:val="15"/>
              </w:rPr>
              <w:t xml:space="preserve"> </w:t>
            </w:r>
            <w:r>
              <w:rPr>
                <w:rFonts w:hint="default" w:ascii="Times New Roman" w:hAnsi="Times New Roman" w:eastAsia="宋体" w:cs="Times New Roman"/>
                <w:b w:val="0"/>
                <w:bCs w:val="0"/>
                <w:color w:val="auto"/>
                <w:sz w:val="15"/>
                <w:szCs w:val="15"/>
              </w:rPr>
              <w:t>放</w:t>
            </w:r>
            <w:r>
              <w:rPr>
                <w:rFonts w:hint="default" w:ascii="Times New Roman" w:hAnsi="Times New Roman" w:eastAsia="宋体" w:cs="Times New Roman"/>
                <w:b w:val="0"/>
                <w:bCs w:val="0"/>
                <w:color w:val="auto"/>
                <w:spacing w:val="-50"/>
                <w:sz w:val="15"/>
                <w:szCs w:val="15"/>
              </w:rPr>
              <w:t xml:space="preserve"> </w:t>
            </w:r>
            <w:r>
              <w:rPr>
                <w:rFonts w:hint="default" w:ascii="Times New Roman" w:hAnsi="Times New Roman" w:eastAsia="宋体" w:cs="Times New Roman"/>
                <w:b w:val="0"/>
                <w:bCs w:val="0"/>
                <w:color w:val="auto"/>
                <w:sz w:val="15"/>
                <w:szCs w:val="15"/>
              </w:rPr>
              <w:t>增</w:t>
            </w:r>
            <w:r>
              <w:rPr>
                <w:rFonts w:hint="default" w:ascii="Times New Roman" w:hAnsi="Times New Roman" w:eastAsia="宋体" w:cs="Times New Roman"/>
                <w:b w:val="0"/>
                <w:bCs w:val="0"/>
                <w:color w:val="auto"/>
                <w:spacing w:val="-50"/>
                <w:sz w:val="15"/>
                <w:szCs w:val="15"/>
              </w:rPr>
              <w:t xml:space="preserve"> </w:t>
            </w:r>
            <w:r>
              <w:rPr>
                <w:rFonts w:hint="default" w:ascii="Times New Roman" w:hAnsi="Times New Roman" w:eastAsia="宋体" w:cs="Times New Roman"/>
                <w:b w:val="0"/>
                <w:bCs w:val="0"/>
                <w:color w:val="auto"/>
                <w:sz w:val="15"/>
                <w:szCs w:val="15"/>
              </w:rPr>
              <w:t>减</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Times New Roman" w:cs="Times New Roman"/>
                <w:b w:val="0"/>
                <w:bCs w:val="0"/>
                <w:color w:val="auto"/>
                <w:sz w:val="15"/>
                <w:szCs w:val="15"/>
              </w:rPr>
            </w:pPr>
            <w:r>
              <w:rPr>
                <w:rFonts w:hint="default" w:ascii="Times New Roman" w:hAnsi="Times New Roman" w:eastAsia="宋体" w:cs="Times New Roman"/>
                <w:b w:val="0"/>
                <w:bCs w:val="0"/>
                <w:color w:val="auto"/>
                <w:sz w:val="15"/>
                <w:szCs w:val="15"/>
              </w:rPr>
              <w:t>量</w:t>
            </w:r>
            <w:r>
              <w:rPr>
                <w:rFonts w:hint="default" w:ascii="Times New Roman" w:hAnsi="Times New Roman" w:eastAsia="Times New Roman" w:cs="Times New Roman"/>
                <w:b w:val="0"/>
                <w:bCs w:val="0"/>
                <w:color w:val="auto"/>
                <w:sz w:val="15"/>
                <w:szCs w:val="15"/>
              </w:rPr>
              <w:t>(12)</w:t>
            </w:r>
          </w:p>
        </w:tc>
      </w:tr>
      <w:tr>
        <w:tblPrEx>
          <w:tblCellMar>
            <w:top w:w="0" w:type="dxa"/>
            <w:left w:w="0" w:type="dxa"/>
            <w:bottom w:w="0" w:type="dxa"/>
            <w:right w:w="0" w:type="dxa"/>
          </w:tblCellMar>
        </w:tblPrEx>
        <w:trPr>
          <w:trHeight w:val="254"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废水</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55"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化学需氧量</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42"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氨氮</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30"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石油类</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54"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废气</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42"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二氧化硫</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55"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氮氧化物</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41"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颗粒物</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eastAsia"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05"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工业固体废物</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72" w:hRule="exact"/>
        </w:trPr>
        <w:tc>
          <w:tcPr>
            <w:tcW w:w="596" w:type="dxa"/>
            <w:gridSpan w:val="2"/>
            <w:vMerge w:val="continue"/>
            <w:tcBorders>
              <w:left w:val="single" w:color="000000" w:sz="8"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其他特征污染物</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8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5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3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9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6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113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c>
          <w:tcPr>
            <w:tcW w:w="750"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bidi="ar-SA"/>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46" w:hRule="exact"/>
        </w:trPr>
        <w:tc>
          <w:tcPr>
            <w:tcW w:w="596" w:type="dxa"/>
            <w:gridSpan w:val="2"/>
            <w:vMerge w:val="restart"/>
            <w:tcBorders>
              <w:top w:val="single" w:color="000000" w:sz="4" w:space="0"/>
              <w:left w:val="single" w:color="000000" w:sz="8"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生</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态</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影</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响</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及</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其</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环</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境</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保</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护</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设</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施</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生</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态</w:t>
            </w:r>
            <w:r>
              <w:rPr>
                <w:rFonts w:hint="default" w:ascii="Times New Roman" w:hAnsi="Times New Roman" w:eastAsia="黑体" w:cs="Times New Roman"/>
                <w:b w:val="0"/>
                <w:bCs w:val="0"/>
                <w:color w:val="auto"/>
                <w:spacing w:val="67"/>
                <w:sz w:val="15"/>
                <w:szCs w:val="15"/>
              </w:rPr>
              <w:t xml:space="preserve"> </w:t>
            </w:r>
            <w:r>
              <w:rPr>
                <w:rFonts w:hint="default" w:ascii="Times New Roman" w:hAnsi="Times New Roman" w:eastAsia="黑体" w:cs="Times New Roman"/>
                <w:b w:val="0"/>
                <w:bCs w:val="0"/>
                <w:color w:val="auto"/>
                <w:sz w:val="15"/>
                <w:szCs w:val="15"/>
              </w:rPr>
              <w:t>类</w:t>
            </w:r>
          </w:p>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黑体" w:cs="Times New Roman"/>
                <w:b w:val="0"/>
                <w:bCs w:val="0"/>
                <w:color w:val="auto"/>
                <w:sz w:val="15"/>
                <w:szCs w:val="15"/>
              </w:rPr>
            </w:pPr>
            <w:r>
              <w:rPr>
                <w:rFonts w:hint="default" w:ascii="Times New Roman" w:hAnsi="Times New Roman" w:eastAsia="黑体" w:cs="Times New Roman"/>
                <w:b w:val="0"/>
                <w:bCs w:val="0"/>
                <w:color w:val="auto"/>
                <w:sz w:val="15"/>
                <w:szCs w:val="15"/>
              </w:rPr>
              <w:t>项</w:t>
            </w:r>
            <w:r>
              <w:rPr>
                <w:rFonts w:hint="default" w:ascii="Times New Roman" w:hAnsi="Times New Roman" w:eastAsia="黑体" w:cs="Times New Roman"/>
                <w:b w:val="0"/>
                <w:bCs w:val="0"/>
                <w:color w:val="auto"/>
                <w:spacing w:val="68"/>
                <w:sz w:val="15"/>
                <w:szCs w:val="15"/>
              </w:rPr>
              <w:t xml:space="preserve"> </w:t>
            </w:r>
            <w:r>
              <w:rPr>
                <w:rFonts w:hint="default" w:ascii="Times New Roman" w:hAnsi="Times New Roman" w:eastAsia="黑体" w:cs="Times New Roman"/>
                <w:b w:val="0"/>
                <w:bCs w:val="0"/>
                <w:color w:val="auto"/>
                <w:sz w:val="15"/>
                <w:szCs w:val="15"/>
              </w:rPr>
              <w:t>目</w:t>
            </w:r>
            <w:r>
              <w:rPr>
                <w:rFonts w:hint="default" w:ascii="Times New Roman" w:hAnsi="Times New Roman" w:eastAsia="黑体" w:cs="Times New Roman"/>
                <w:b w:val="0"/>
                <w:bCs w:val="0"/>
                <w:color w:val="auto"/>
                <w:w w:val="98"/>
                <w:sz w:val="15"/>
                <w:szCs w:val="15"/>
              </w:rPr>
              <w:t xml:space="preserve"> </w:t>
            </w:r>
            <w:r>
              <w:rPr>
                <w:rFonts w:hint="default" w:ascii="Times New Roman" w:hAnsi="Times New Roman" w:eastAsia="黑体" w:cs="Times New Roman"/>
                <w:b w:val="0"/>
                <w:bCs w:val="0"/>
                <w:color w:val="auto"/>
                <w:sz w:val="15"/>
                <w:szCs w:val="15"/>
              </w:rPr>
              <w:t>详</w:t>
            </w:r>
            <w:r>
              <w:rPr>
                <w:rFonts w:hint="default" w:ascii="Times New Roman" w:hAnsi="Times New Roman" w:eastAsia="黑体" w:cs="Times New Roman"/>
                <w:b w:val="0"/>
                <w:bCs w:val="0"/>
                <w:color w:val="auto"/>
                <w:spacing w:val="-38"/>
                <w:sz w:val="15"/>
                <w:szCs w:val="15"/>
              </w:rPr>
              <w:t xml:space="preserve"> </w:t>
            </w:r>
            <w:r>
              <w:rPr>
                <w:rFonts w:hint="default" w:ascii="Times New Roman" w:hAnsi="Times New Roman" w:eastAsia="黑体" w:cs="Times New Roman"/>
                <w:b w:val="0"/>
                <w:bCs w:val="0"/>
                <w:color w:val="auto"/>
                <w:sz w:val="15"/>
                <w:szCs w:val="15"/>
              </w:rPr>
              <w:t>填</w:t>
            </w:r>
            <w:r>
              <w:rPr>
                <w:rFonts w:hint="default" w:ascii="Times New Roman" w:hAnsi="Times New Roman" w:eastAsia="黑体" w:cs="Times New Roman"/>
                <w:b w:val="0"/>
                <w:bCs w:val="0"/>
                <w:color w:val="auto"/>
                <w:spacing w:val="-38"/>
                <w:sz w:val="15"/>
                <w:szCs w:val="15"/>
              </w:rPr>
              <w:t xml:space="preserve"> </w:t>
            </w:r>
            <w:r>
              <w:rPr>
                <w:rFonts w:hint="default" w:ascii="Times New Roman" w:hAnsi="Times New Roman" w:eastAsia="黑体" w:cs="Times New Roman"/>
                <w:b w:val="0"/>
                <w:bCs w:val="0"/>
                <w:color w:val="auto"/>
                <w:sz w:val="15"/>
                <w:szCs w:val="15"/>
              </w:rPr>
              <w:t>）</w:t>
            </w: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主要生态保护目标</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名称</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位置</w:t>
            </w:r>
          </w:p>
        </w:tc>
        <w:tc>
          <w:tcPr>
            <w:tcW w:w="1991"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both"/>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生态保护要求</w:t>
            </w:r>
          </w:p>
        </w:tc>
        <w:tc>
          <w:tcPr>
            <w:tcW w:w="2392"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项目生态影响</w:t>
            </w:r>
          </w:p>
        </w:tc>
        <w:tc>
          <w:tcPr>
            <w:tcW w:w="257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both"/>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生态保护工程和设施</w:t>
            </w:r>
          </w:p>
        </w:tc>
        <w:tc>
          <w:tcPr>
            <w:tcW w:w="2383"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both"/>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生态保护措施</w:t>
            </w:r>
          </w:p>
        </w:tc>
        <w:tc>
          <w:tcPr>
            <w:tcW w:w="1500" w:type="dxa"/>
            <w:gridSpan w:val="2"/>
            <w:tcBorders>
              <w:top w:val="single" w:color="000000" w:sz="4" w:space="0"/>
              <w:left w:val="single" w:color="000000" w:sz="4" w:space="0"/>
              <w:bottom w:val="single" w:color="000000" w:sz="4" w:space="0"/>
              <w:right w:val="single" w:color="000000" w:sz="8"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生态保护效果</w:t>
            </w:r>
          </w:p>
        </w:tc>
      </w:tr>
      <w:tr>
        <w:tblPrEx>
          <w:tblCellMar>
            <w:top w:w="0" w:type="dxa"/>
            <w:left w:w="0" w:type="dxa"/>
            <w:bottom w:w="0" w:type="dxa"/>
            <w:right w:w="0" w:type="dxa"/>
          </w:tblCellMar>
        </w:tblPrEx>
        <w:trPr>
          <w:trHeight w:val="246"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生态敏感区</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99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57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8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500" w:type="dxa"/>
            <w:gridSpan w:val="2"/>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46"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保护生物</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99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57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8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500" w:type="dxa"/>
            <w:gridSpan w:val="2"/>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46"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土地资源</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lang w:val="en-US" w:eastAsia="zh-CN"/>
              </w:rPr>
            </w:pPr>
            <w:r>
              <w:rPr>
                <w:rFonts w:hint="eastAsia" w:ascii="Times New Roman" w:hAnsi="Times New Roman" w:eastAsia="宋体" w:cs="Times New Roman"/>
                <w:b w:val="0"/>
                <w:bCs w:val="0"/>
                <w:color w:val="auto"/>
                <w:sz w:val="15"/>
                <w:szCs w:val="15"/>
                <w:lang w:val="en-US" w:eastAsia="zh-CN"/>
              </w:rPr>
              <w:t>耕地</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永久占地面积</w:t>
            </w:r>
          </w:p>
        </w:tc>
        <w:tc>
          <w:tcPr>
            <w:tcW w:w="199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92"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恢复补偿面积</w:t>
            </w:r>
          </w:p>
        </w:tc>
        <w:tc>
          <w:tcPr>
            <w:tcW w:w="257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83"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恢复补偿形式</w:t>
            </w:r>
          </w:p>
        </w:tc>
        <w:tc>
          <w:tcPr>
            <w:tcW w:w="1500" w:type="dxa"/>
            <w:gridSpan w:val="2"/>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46"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kern w:val="2"/>
                <w:sz w:val="15"/>
                <w:szCs w:val="15"/>
                <w:lang w:val="en-US" w:eastAsia="zh-CN" w:bidi="ar-SA"/>
              </w:rPr>
            </w:pPr>
            <w:r>
              <w:rPr>
                <w:rFonts w:hint="default" w:ascii="Times New Roman" w:hAnsi="Times New Roman" w:eastAsia="宋体" w:cs="Times New Roman"/>
                <w:b w:val="0"/>
                <w:bCs w:val="0"/>
                <w:color w:val="auto"/>
                <w:spacing w:val="8"/>
                <w:kern w:val="2"/>
                <w:sz w:val="15"/>
                <w:szCs w:val="15"/>
                <w:lang w:val="en-US" w:eastAsia="zh-CN" w:bidi="ar-SA"/>
              </w:rPr>
              <w:t>/</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林草地等</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永久占地面积</w:t>
            </w:r>
          </w:p>
        </w:tc>
        <w:tc>
          <w:tcPr>
            <w:tcW w:w="199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92"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恢复补偿面积</w:t>
            </w:r>
          </w:p>
        </w:tc>
        <w:tc>
          <w:tcPr>
            <w:tcW w:w="257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83"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恢复补偿形式</w:t>
            </w:r>
          </w:p>
        </w:tc>
        <w:tc>
          <w:tcPr>
            <w:tcW w:w="1500" w:type="dxa"/>
            <w:gridSpan w:val="2"/>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46" w:hRule="exact"/>
        </w:trPr>
        <w:tc>
          <w:tcPr>
            <w:tcW w:w="596" w:type="dxa"/>
            <w:gridSpan w:val="2"/>
            <w:vMerge w:val="continue"/>
            <w:tcBorders>
              <w:left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sz w:val="15"/>
                <w:szCs w:val="15"/>
              </w:rPr>
            </w:pPr>
            <w:r>
              <w:rPr>
                <w:rFonts w:hint="default" w:ascii="Times New Roman" w:hAnsi="Times New Roman" w:eastAsia="宋体" w:cs="Times New Roman"/>
                <w:b w:val="0"/>
                <w:bCs w:val="0"/>
                <w:color w:val="auto"/>
                <w:spacing w:val="8"/>
                <w:sz w:val="15"/>
                <w:szCs w:val="15"/>
              </w:rPr>
              <w:t>生态治理工程</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工程治理面积</w:t>
            </w:r>
          </w:p>
        </w:tc>
        <w:tc>
          <w:tcPr>
            <w:tcW w:w="1991"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92"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生物治理面积</w:t>
            </w:r>
          </w:p>
        </w:tc>
        <w:tc>
          <w:tcPr>
            <w:tcW w:w="257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83"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 w:val="15"/>
                <w:szCs w:val="15"/>
              </w:rPr>
            </w:pPr>
            <w:r>
              <w:rPr>
                <w:rFonts w:hint="default" w:ascii="Times New Roman" w:hAnsi="Times New Roman" w:eastAsia="宋体" w:cs="Times New Roman"/>
                <w:b w:val="0"/>
                <w:bCs w:val="0"/>
                <w:color w:val="auto"/>
                <w:sz w:val="15"/>
                <w:szCs w:val="15"/>
              </w:rPr>
              <w:t>水土流失治理率</w:t>
            </w:r>
          </w:p>
        </w:tc>
        <w:tc>
          <w:tcPr>
            <w:tcW w:w="1500" w:type="dxa"/>
            <w:gridSpan w:val="2"/>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r>
      <w:tr>
        <w:tblPrEx>
          <w:tblCellMar>
            <w:top w:w="0" w:type="dxa"/>
            <w:left w:w="0" w:type="dxa"/>
            <w:bottom w:w="0" w:type="dxa"/>
            <w:right w:w="0" w:type="dxa"/>
          </w:tblCellMar>
        </w:tblPrEx>
        <w:trPr>
          <w:trHeight w:val="293" w:hRule="exact"/>
        </w:trPr>
        <w:tc>
          <w:tcPr>
            <w:tcW w:w="596" w:type="dxa"/>
            <w:gridSpan w:val="2"/>
            <w:vMerge w:val="continue"/>
            <w:tcBorders>
              <w:left w:val="single" w:color="000000" w:sz="8" w:space="0"/>
              <w:bottom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p>
        </w:tc>
        <w:tc>
          <w:tcPr>
            <w:tcW w:w="1648" w:type="dxa"/>
            <w:tcBorders>
              <w:top w:val="single" w:color="000000" w:sz="4" w:space="0"/>
              <w:left w:val="single" w:color="000000" w:sz="4" w:space="0"/>
              <w:bottom w:val="single" w:color="000000" w:sz="8" w:space="0"/>
              <w:right w:val="single" w:color="000000"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8"/>
                <w:sz w:val="15"/>
                <w:szCs w:val="15"/>
              </w:rPr>
            </w:pPr>
            <w:r>
              <w:rPr>
                <w:rFonts w:hint="default" w:ascii="Times New Roman" w:hAnsi="Times New Roman" w:eastAsia="宋体" w:cs="Times New Roman"/>
                <w:b w:val="0"/>
                <w:bCs w:val="0"/>
                <w:color w:val="auto"/>
                <w:spacing w:val="8"/>
                <w:sz w:val="15"/>
                <w:szCs w:val="15"/>
              </w:rPr>
              <w:t>其他生态保护目标</w:t>
            </w:r>
          </w:p>
        </w:tc>
        <w:tc>
          <w:tcPr>
            <w:tcW w:w="832"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186"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991" w:type="dxa"/>
            <w:gridSpan w:val="3"/>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92" w:type="dxa"/>
            <w:gridSpan w:val="4"/>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575" w:type="dxa"/>
            <w:gridSpan w:val="2"/>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2383" w:type="dxa"/>
            <w:gridSpan w:val="3"/>
            <w:tcBorders>
              <w:top w:val="single" w:color="000000" w:sz="4" w:space="0"/>
              <w:left w:val="single" w:color="000000" w:sz="4" w:space="0"/>
              <w:bottom w:val="single" w:color="000000" w:sz="8"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c>
          <w:tcPr>
            <w:tcW w:w="1500" w:type="dxa"/>
            <w:gridSpan w:val="2"/>
            <w:tcBorders>
              <w:top w:val="single" w:color="000000" w:sz="4" w:space="0"/>
              <w:left w:val="single" w:color="000000" w:sz="4"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sz w:val="15"/>
                <w:szCs w:val="15"/>
                <w:lang w:val="en-US" w:eastAsia="zh-CN" w:bidi="ar-SA"/>
              </w:rPr>
              <w:t>/</w:t>
            </w:r>
          </w:p>
        </w:tc>
      </w:tr>
    </w:tbl>
    <w:p>
      <w:pPr>
        <w:spacing w:before="71" w:line="196" w:lineRule="exact"/>
        <w:ind w:left="943" w:right="0" w:firstLine="0"/>
        <w:jc w:val="left"/>
        <w:rPr>
          <w:rFonts w:hint="eastAsia" w:ascii="Times New Roman" w:hAnsi="Times New Roman" w:cs="Times New Roman"/>
          <w:color w:val="auto"/>
          <w:lang w:val="en-US" w:eastAsia="zh-CN"/>
        </w:rPr>
      </w:pPr>
      <w:r>
        <w:rPr>
          <w:rFonts w:hint="default" w:ascii="Times New Roman" w:hAnsi="Times New Roman" w:eastAsia="宋体" w:cs="Times New Roman"/>
          <w:b/>
          <w:bCs/>
          <w:color w:val="auto"/>
          <w:spacing w:val="-10"/>
          <w:sz w:val="15"/>
          <w:szCs w:val="15"/>
        </w:rPr>
        <w:t>注</w:t>
      </w:r>
      <w:r>
        <w:rPr>
          <w:rFonts w:hint="default" w:ascii="Times New Roman" w:hAnsi="Times New Roman" w:eastAsia="宋体" w:cs="Times New Roman"/>
          <w:color w:val="auto"/>
          <w:spacing w:val="-10"/>
          <w:sz w:val="15"/>
          <w:szCs w:val="15"/>
        </w:rPr>
        <w:t>：</w:t>
      </w:r>
      <w:r>
        <w:rPr>
          <w:rFonts w:hint="default" w:ascii="Times New Roman" w:hAnsi="Times New Roman" w:eastAsia="Times New Roman" w:cs="Times New Roman"/>
          <w:color w:val="auto"/>
          <w:spacing w:val="-10"/>
          <w:sz w:val="15"/>
          <w:szCs w:val="15"/>
        </w:rPr>
        <w:t>1</w:t>
      </w:r>
      <w:r>
        <w:rPr>
          <w:rFonts w:hint="default" w:ascii="Times New Roman" w:hAnsi="Times New Roman" w:eastAsia="宋体" w:cs="Times New Roman"/>
          <w:color w:val="auto"/>
          <w:spacing w:val="-10"/>
          <w:sz w:val="15"/>
          <w:szCs w:val="15"/>
        </w:rPr>
        <w:t>、排放增减量：（</w:t>
      </w:r>
      <w:r>
        <w:rPr>
          <w:rFonts w:hint="default" w:ascii="Times New Roman" w:hAnsi="Times New Roman" w:eastAsia="Times New Roman" w:cs="Times New Roman"/>
          <w:color w:val="auto"/>
          <w:spacing w:val="-10"/>
          <w:sz w:val="15"/>
          <w:szCs w:val="15"/>
        </w:rPr>
        <w:t>+</w:t>
      </w:r>
      <w:r>
        <w:rPr>
          <w:rFonts w:hint="default" w:ascii="Times New Roman" w:hAnsi="Times New Roman" w:eastAsia="宋体" w:cs="Times New Roman"/>
          <w:color w:val="auto"/>
          <w:spacing w:val="-10"/>
          <w:sz w:val="15"/>
          <w:szCs w:val="15"/>
        </w:rPr>
        <w:t>）表示增加，（</w:t>
      </w:r>
      <w:r>
        <w:rPr>
          <w:rFonts w:hint="default" w:ascii="Times New Roman" w:hAnsi="Times New Roman" w:eastAsia="Times New Roman" w:cs="Times New Roman"/>
          <w:color w:val="auto"/>
          <w:spacing w:val="-10"/>
          <w:sz w:val="15"/>
          <w:szCs w:val="15"/>
        </w:rPr>
        <w:t>-</w:t>
      </w:r>
      <w:r>
        <w:rPr>
          <w:rFonts w:hint="default" w:ascii="Times New Roman" w:hAnsi="Times New Roman" w:eastAsia="宋体" w:cs="Times New Roman"/>
          <w:color w:val="auto"/>
          <w:spacing w:val="-10"/>
          <w:sz w:val="15"/>
          <w:szCs w:val="15"/>
        </w:rPr>
        <w:t>）表示减少。</w:t>
      </w:r>
      <w:r>
        <w:rPr>
          <w:rFonts w:hint="default" w:ascii="Times New Roman" w:hAnsi="Times New Roman" w:eastAsia="Times New Roman" w:cs="Times New Roman"/>
          <w:color w:val="auto"/>
          <w:spacing w:val="-10"/>
          <w:sz w:val="15"/>
          <w:szCs w:val="15"/>
        </w:rPr>
        <w:t>2</w:t>
      </w:r>
      <w:r>
        <w:rPr>
          <w:rFonts w:hint="default" w:ascii="Times New Roman" w:hAnsi="Times New Roman" w:eastAsia="宋体" w:cs="Times New Roman"/>
          <w:color w:val="auto"/>
          <w:spacing w:val="-10"/>
          <w:sz w:val="15"/>
          <w:szCs w:val="15"/>
        </w:rPr>
        <w:t>、</w:t>
      </w:r>
      <w:r>
        <w:rPr>
          <w:rFonts w:hint="default" w:ascii="Times New Roman" w:hAnsi="Times New Roman" w:eastAsia="Times New Roman" w:cs="Times New Roman"/>
          <w:color w:val="auto"/>
          <w:spacing w:val="-10"/>
          <w:sz w:val="15"/>
          <w:szCs w:val="15"/>
        </w:rPr>
        <w:t>(12)=(6)-(8)-(11)</w:t>
      </w:r>
      <w:r>
        <w:rPr>
          <w:rFonts w:hint="default" w:ascii="Times New Roman" w:hAnsi="Times New Roman" w:eastAsia="宋体" w:cs="Times New Roman"/>
          <w:color w:val="auto"/>
          <w:spacing w:val="-10"/>
          <w:sz w:val="15"/>
          <w:szCs w:val="15"/>
        </w:rPr>
        <w:t>，（</w:t>
      </w:r>
      <w:r>
        <w:rPr>
          <w:rFonts w:hint="default" w:ascii="Times New Roman" w:hAnsi="Times New Roman" w:eastAsia="Times New Roman" w:cs="Times New Roman"/>
          <w:color w:val="auto"/>
          <w:spacing w:val="-10"/>
          <w:sz w:val="15"/>
          <w:szCs w:val="15"/>
        </w:rPr>
        <w:t>9</w:t>
      </w:r>
      <w:r>
        <w:rPr>
          <w:rFonts w:hint="default" w:ascii="Times New Roman" w:hAnsi="Times New Roman" w:eastAsia="宋体" w:cs="Times New Roman"/>
          <w:color w:val="auto"/>
          <w:spacing w:val="-10"/>
          <w:sz w:val="15"/>
          <w:szCs w:val="15"/>
        </w:rPr>
        <w:t>）</w:t>
      </w:r>
      <w:r>
        <w:rPr>
          <w:rFonts w:hint="default" w:ascii="Times New Roman" w:hAnsi="Times New Roman" w:eastAsia="Times New Roman" w:cs="Times New Roman"/>
          <w:color w:val="auto"/>
          <w:spacing w:val="-10"/>
          <w:sz w:val="15"/>
          <w:szCs w:val="15"/>
        </w:rPr>
        <w:t>=</w:t>
      </w:r>
      <w:r>
        <w:rPr>
          <w:rFonts w:hint="default" w:ascii="Times New Roman" w:hAnsi="Times New Roman" w:eastAsia="Times New Roman" w:cs="Times New Roman"/>
          <w:color w:val="auto"/>
          <w:spacing w:val="-6"/>
          <w:sz w:val="15"/>
          <w:szCs w:val="15"/>
        </w:rPr>
        <w:t xml:space="preserve"> </w:t>
      </w:r>
      <w:r>
        <w:rPr>
          <w:rFonts w:hint="default" w:ascii="Times New Roman" w:hAnsi="Times New Roman" w:eastAsia="Times New Roman" w:cs="Times New Roman"/>
          <w:color w:val="auto"/>
          <w:spacing w:val="-5"/>
          <w:sz w:val="15"/>
          <w:szCs w:val="15"/>
        </w:rPr>
        <w:t>(4)-(5)-(8)-</w:t>
      </w:r>
      <w:r>
        <w:rPr>
          <w:rFonts w:hint="default" w:ascii="Times New Roman" w:hAnsi="Times New Roman" w:eastAsia="Times New Roman" w:cs="Times New Roman"/>
          <w:color w:val="auto"/>
          <w:spacing w:val="-10"/>
          <w:sz w:val="15"/>
          <w:szCs w:val="15"/>
        </w:rPr>
        <w:t xml:space="preserve"> </w:t>
      </w:r>
      <w:r>
        <w:rPr>
          <w:rFonts w:hint="default" w:ascii="Times New Roman" w:hAnsi="Times New Roman" w:eastAsia="Times New Roman" w:cs="Times New Roman"/>
          <w:color w:val="auto"/>
          <w:spacing w:val="-5"/>
          <w:sz w:val="15"/>
          <w:szCs w:val="15"/>
        </w:rPr>
        <w:t>(11)</w:t>
      </w:r>
      <w:r>
        <w:rPr>
          <w:rFonts w:hint="default" w:ascii="Times New Roman" w:hAnsi="Times New Roman" w:eastAsia="Times New Roman" w:cs="Times New Roman"/>
          <w:color w:val="auto"/>
          <w:spacing w:val="-7"/>
          <w:sz w:val="15"/>
          <w:szCs w:val="15"/>
        </w:rPr>
        <w:t xml:space="preserve"> </w:t>
      </w:r>
      <w:r>
        <w:rPr>
          <w:rFonts w:hint="default" w:ascii="Times New Roman" w:hAnsi="Times New Roman" w:eastAsia="Times New Roman" w:cs="Times New Roman"/>
          <w:color w:val="auto"/>
          <w:spacing w:val="-6"/>
          <w:sz w:val="15"/>
          <w:szCs w:val="15"/>
        </w:rPr>
        <w:t>+</w:t>
      </w:r>
      <w:r>
        <w:rPr>
          <w:rFonts w:hint="default" w:ascii="Times New Roman" w:hAnsi="Times New Roman" w:eastAsia="宋体" w:cs="Times New Roman"/>
          <w:color w:val="auto"/>
          <w:spacing w:val="-6"/>
          <w:sz w:val="15"/>
          <w:szCs w:val="15"/>
        </w:rPr>
        <w:t>（</w:t>
      </w:r>
      <w:r>
        <w:rPr>
          <w:rFonts w:hint="default" w:ascii="Times New Roman" w:hAnsi="Times New Roman" w:eastAsia="Times New Roman" w:cs="Times New Roman"/>
          <w:color w:val="auto"/>
          <w:spacing w:val="-6"/>
          <w:sz w:val="15"/>
          <w:szCs w:val="15"/>
        </w:rPr>
        <w:t>1</w:t>
      </w:r>
      <w:r>
        <w:rPr>
          <w:rFonts w:hint="default" w:ascii="Times New Roman" w:hAnsi="Times New Roman" w:eastAsia="宋体" w:cs="Times New Roman"/>
          <w:color w:val="auto"/>
          <w:spacing w:val="-6"/>
          <w:sz w:val="15"/>
          <w:szCs w:val="15"/>
        </w:rPr>
        <w:t>）。</w:t>
      </w:r>
      <w:r>
        <w:rPr>
          <w:rFonts w:hint="default" w:ascii="Times New Roman" w:hAnsi="Times New Roman" w:eastAsia="Times New Roman" w:cs="Times New Roman"/>
          <w:color w:val="auto"/>
          <w:spacing w:val="-6"/>
          <w:sz w:val="15"/>
          <w:szCs w:val="15"/>
        </w:rPr>
        <w:t>3</w:t>
      </w:r>
      <w:r>
        <w:rPr>
          <w:rFonts w:hint="default" w:ascii="Times New Roman" w:hAnsi="Times New Roman" w:eastAsia="宋体" w:cs="Times New Roman"/>
          <w:color w:val="auto"/>
          <w:spacing w:val="-6"/>
          <w:sz w:val="15"/>
          <w:szCs w:val="15"/>
        </w:rPr>
        <w:t>、计量单位：废水排放量</w:t>
      </w:r>
      <w:r>
        <w:rPr>
          <w:rFonts w:hint="default" w:ascii="Times New Roman" w:hAnsi="Times New Roman" w:eastAsia="Times New Roman" w:cs="Times New Roman"/>
          <w:color w:val="auto"/>
          <w:spacing w:val="-6"/>
          <w:sz w:val="15"/>
          <w:szCs w:val="15"/>
        </w:rPr>
        <w:t>——</w:t>
      </w:r>
      <w:r>
        <w:rPr>
          <w:rFonts w:hint="default" w:ascii="Times New Roman" w:hAnsi="Times New Roman" w:eastAsia="宋体" w:cs="Times New Roman"/>
          <w:color w:val="auto"/>
          <w:spacing w:val="-6"/>
          <w:sz w:val="15"/>
          <w:szCs w:val="15"/>
        </w:rPr>
        <w:t>万吨</w:t>
      </w:r>
      <w:r>
        <w:rPr>
          <w:rFonts w:hint="default" w:ascii="Times New Roman" w:hAnsi="Times New Roman" w:eastAsia="Times New Roman" w:cs="Times New Roman"/>
          <w:color w:val="auto"/>
          <w:spacing w:val="-6"/>
          <w:sz w:val="15"/>
          <w:szCs w:val="15"/>
        </w:rPr>
        <w:t>/</w:t>
      </w:r>
      <w:r>
        <w:rPr>
          <w:rFonts w:hint="default" w:ascii="Times New Roman" w:hAnsi="Times New Roman" w:eastAsia="宋体" w:cs="Times New Roman"/>
          <w:color w:val="auto"/>
          <w:spacing w:val="-6"/>
          <w:sz w:val="15"/>
          <w:szCs w:val="15"/>
        </w:rPr>
        <w:t>年；废气排放量</w:t>
      </w:r>
      <w:r>
        <w:rPr>
          <w:rFonts w:hint="default" w:ascii="Times New Roman" w:hAnsi="Times New Roman" w:eastAsia="Times New Roman" w:cs="Times New Roman"/>
          <w:color w:val="auto"/>
          <w:spacing w:val="-6"/>
          <w:sz w:val="15"/>
          <w:szCs w:val="15"/>
        </w:rPr>
        <w:t>——</w:t>
      </w:r>
      <w:r>
        <w:rPr>
          <w:rFonts w:hint="default" w:ascii="Times New Roman" w:hAnsi="Times New Roman" w:eastAsia="宋体" w:cs="Times New Roman"/>
          <w:color w:val="auto"/>
          <w:spacing w:val="-6"/>
          <w:sz w:val="15"/>
          <w:szCs w:val="15"/>
        </w:rPr>
        <w:t>万标立方米</w:t>
      </w:r>
      <w:r>
        <w:rPr>
          <w:rFonts w:hint="default" w:ascii="Times New Roman" w:hAnsi="Times New Roman" w:eastAsia="Times New Roman" w:cs="Times New Roman"/>
          <w:color w:val="auto"/>
          <w:spacing w:val="-6"/>
          <w:sz w:val="15"/>
          <w:szCs w:val="15"/>
        </w:rPr>
        <w:t>/</w:t>
      </w:r>
      <w:r>
        <w:rPr>
          <w:rFonts w:hint="default" w:ascii="Times New Roman" w:hAnsi="Times New Roman" w:eastAsia="宋体" w:cs="Times New Roman"/>
          <w:color w:val="auto"/>
          <w:spacing w:val="-6"/>
          <w:sz w:val="15"/>
          <w:szCs w:val="15"/>
        </w:rPr>
        <w:t>年；工业固体废物排放量</w:t>
      </w:r>
      <w:r>
        <w:rPr>
          <w:rFonts w:hint="default" w:ascii="Times New Roman" w:hAnsi="Times New Roman" w:eastAsia="Times New Roman" w:cs="Times New Roman"/>
          <w:color w:val="auto"/>
          <w:spacing w:val="-6"/>
          <w:sz w:val="15"/>
          <w:szCs w:val="15"/>
        </w:rPr>
        <w:t>——</w:t>
      </w:r>
      <w:r>
        <w:rPr>
          <w:rFonts w:hint="default" w:ascii="Times New Roman" w:hAnsi="Times New Roman" w:eastAsia="宋体" w:cs="Times New Roman"/>
          <w:color w:val="auto"/>
          <w:spacing w:val="-6"/>
          <w:sz w:val="15"/>
          <w:szCs w:val="15"/>
        </w:rPr>
        <w:t>万吨</w:t>
      </w:r>
      <w:r>
        <w:rPr>
          <w:rFonts w:hint="default" w:ascii="Times New Roman" w:hAnsi="Times New Roman" w:eastAsia="Times New Roman" w:cs="Times New Roman"/>
          <w:color w:val="auto"/>
          <w:spacing w:val="-6"/>
          <w:sz w:val="15"/>
          <w:szCs w:val="15"/>
        </w:rPr>
        <w:t>/</w:t>
      </w:r>
      <w:r>
        <w:rPr>
          <w:rFonts w:hint="default" w:ascii="Times New Roman" w:hAnsi="Times New Roman" w:eastAsia="宋体" w:cs="Times New Roman"/>
          <w:color w:val="auto"/>
          <w:spacing w:val="-6"/>
          <w:sz w:val="15"/>
          <w:szCs w:val="15"/>
        </w:rPr>
        <w:t>年；水污染物排放</w:t>
      </w:r>
      <w:r>
        <w:rPr>
          <w:rFonts w:hint="default" w:ascii="Times New Roman" w:hAnsi="Times New Roman" w:eastAsia="宋体" w:cs="Times New Roman"/>
          <w:color w:val="auto"/>
          <w:spacing w:val="-73"/>
          <w:sz w:val="15"/>
          <w:szCs w:val="15"/>
        </w:rPr>
        <w:t xml:space="preserve"> </w:t>
      </w:r>
      <w:r>
        <w:rPr>
          <w:rFonts w:hint="default" w:ascii="Times New Roman" w:hAnsi="Times New Roman" w:eastAsia="宋体" w:cs="Times New Roman"/>
          <w:color w:val="auto"/>
          <w:sz w:val="15"/>
          <w:szCs w:val="15"/>
        </w:rPr>
        <w:t>浓度</w:t>
      </w:r>
      <w:r>
        <w:rPr>
          <w:rFonts w:hint="default" w:ascii="Times New Roman" w:hAnsi="Times New Roman" w:eastAsia="Times New Roman" w:cs="Times New Roman"/>
          <w:color w:val="auto"/>
          <w:sz w:val="15"/>
          <w:szCs w:val="15"/>
        </w:rPr>
        <w:t>——</w:t>
      </w:r>
      <w:r>
        <w:rPr>
          <w:rFonts w:hint="default" w:ascii="Times New Roman" w:hAnsi="Times New Roman" w:eastAsia="宋体" w:cs="Times New Roman"/>
          <w:color w:val="auto"/>
          <w:sz w:val="15"/>
          <w:szCs w:val="15"/>
        </w:rPr>
        <w:t>毫克</w:t>
      </w:r>
      <w:r>
        <w:rPr>
          <w:rFonts w:hint="default" w:ascii="Times New Roman" w:hAnsi="Times New Roman" w:eastAsia="Times New Roman" w:cs="Times New Roman"/>
          <w:color w:val="auto"/>
          <w:sz w:val="15"/>
          <w:szCs w:val="15"/>
        </w:rPr>
        <w:t>/</w:t>
      </w:r>
      <w:r>
        <w:rPr>
          <w:rFonts w:hint="default" w:ascii="Times New Roman" w:hAnsi="Times New Roman" w:eastAsia="宋体" w:cs="Times New Roman"/>
          <w:color w:val="auto"/>
          <w:sz w:val="15"/>
          <w:szCs w:val="15"/>
        </w:rPr>
        <w:t>升。</w:t>
      </w:r>
      <w:r>
        <w:rPr>
          <w:rFonts w:hint="default" w:ascii="Times New Roman" w:hAnsi="Times New Roman" w:eastAsia="Times New Roman" w:cs="Times New Roman"/>
          <w:color w:val="auto"/>
          <w:sz w:val="15"/>
          <w:szCs w:val="15"/>
        </w:rPr>
        <w:t>4</w:t>
      </w:r>
      <w:r>
        <w:rPr>
          <w:rFonts w:hint="default" w:ascii="Times New Roman" w:hAnsi="Times New Roman" w:eastAsia="宋体" w:cs="Times New Roman"/>
          <w:color w:val="auto"/>
          <w:sz w:val="15"/>
          <w:szCs w:val="15"/>
        </w:rPr>
        <w:t>、主要生态保护对象依据环境影响报告书（表）和验收要求填写，列表为可选对象。</w:t>
      </w:r>
    </w:p>
    <w:sectPr>
      <w:pgSz w:w="16838" w:h="11906" w:orient="landscape"/>
      <w:pgMar w:top="567" w:right="851" w:bottom="567" w:left="851" w:header="851" w:footer="992" w:gutter="0"/>
      <w:pgBorders w:offsetFrom="page">
        <w:top w:val="none" w:sz="0" w:space="0"/>
        <w:left w:val="none" w:sz="0" w:space="0"/>
        <w:bottom w:val="none" w:sz="0" w:space="0"/>
        <w:right w:val="none" w:sz="0" w:space="0"/>
      </w:pgBorders>
      <w:pgNumType w:fmt="decimal"/>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330"/>
      <w:rPr>
        <w:rFonts w:ascii="宋体" w:hAnsi="宋体" w:eastAsia="宋体" w:cs="宋体"/>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330"/>
      <w:rPr>
        <w:rFonts w:ascii="宋体" w:hAnsi="宋体" w:eastAsia="宋体" w:cs="宋体"/>
        <w:sz w:val="15"/>
        <w:szCs w:val="15"/>
      </w:rPr>
    </w:pPr>
    <w:r>
      <w:rPr>
        <w:rFonts w:hint="eastAsia" w:ascii="微软雅黑" w:hAnsi="微软雅黑" w:eastAsia="微软雅黑" w:cs="微软雅黑"/>
        <w:sz w:val="15"/>
        <w:szCs w:val="15"/>
      </w:rPr>
      <w:t>Ⅱ</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330"/>
      <w:rPr>
        <w:rFonts w:ascii="宋体" w:hAnsi="宋体" w:eastAsia="宋体" w:cs="宋体"/>
        <w:sz w:val="15"/>
        <w:szCs w:val="15"/>
      </w:rPr>
    </w:pPr>
    <w:r>
      <w:rPr>
        <w:sz w:val="15"/>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60"/>
      <w:rPr>
        <w:rFonts w:ascii="宋体" w:hAnsi="宋体" w:eastAsia="宋体" w:cs="宋体"/>
        <w:sz w:val="15"/>
        <w:szCs w:val="15"/>
      </w:rPr>
    </w:pPr>
    <w:r>
      <w:rPr>
        <w:sz w:val="15"/>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60"/>
      <w:rPr>
        <w:rFonts w:ascii="宋体" w:hAnsi="宋体" w:eastAsia="宋体" w:cs="宋体"/>
        <w:sz w:val="15"/>
        <w:szCs w:val="15"/>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60"/>
      <w:rPr>
        <w:rFonts w:ascii="宋体" w:hAnsi="宋体" w:eastAsia="宋体" w:cs="宋体"/>
        <w:sz w:val="15"/>
        <w:szCs w:val="15"/>
      </w:rPr>
    </w:pPr>
    <w:r>
      <w:rPr>
        <w:sz w:val="15"/>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080"/>
      <w:rPr>
        <w:rFonts w:ascii="宋体" w:hAnsi="宋体" w:eastAsia="宋体" w:cs="宋体"/>
        <w:sz w:val="15"/>
        <w:szCs w:val="15"/>
      </w:rPr>
    </w:pPr>
    <w:r>
      <w:rPr>
        <w:sz w:val="15"/>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090"/>
      <w:rPr>
        <w:rFonts w:ascii="宋体" w:hAnsi="宋体" w:eastAsia="宋体" w:cs="宋体"/>
        <w:sz w:val="15"/>
        <w:szCs w:val="15"/>
      </w:rPr>
    </w:pPr>
    <w:r>
      <w:rPr>
        <w:sz w:val="15"/>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30"/>
      <w:rPr>
        <w:rFonts w:ascii="宋体" w:hAnsi="宋体" w:eastAsia="宋体" w:cs="宋体"/>
        <w:sz w:val="14"/>
        <w:szCs w:val="14"/>
      </w:rPr>
    </w:pPr>
    <w:r>
      <w:rPr>
        <w:sz w:val="1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5096"/>
      </w:tabs>
      <w:spacing w:line="184" w:lineRule="auto"/>
      <w:ind w:left="3696"/>
      <w:rPr>
        <w:rFonts w:ascii="宋体" w:hAnsi="宋体" w:eastAsia="宋体" w:cs="宋体"/>
        <w:sz w:val="19"/>
        <w:szCs w:val="19"/>
      </w:rPr>
    </w:pPr>
    <w:r>
      <w:rPr>
        <w:rFonts w:hint="eastAsia" w:ascii="宋体" w:hAnsi="宋体" w:eastAsia="宋体" w:cs="宋体"/>
        <w:sz w:val="19"/>
        <w:szCs w:val="19"/>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2671"/>
      <w:rPr>
        <w:rFonts w:ascii="宋体" w:hAnsi="宋体" w:eastAsia="宋体" w:cs="宋体"/>
        <w:sz w:val="18"/>
        <w:szCs w:val="18"/>
      </w:rPr>
    </w:pPr>
    <w:bookmarkStart w:id="97" w:name="_bookmark42"/>
    <w:bookmarkEnd w:id="97"/>
    <w:bookmarkStart w:id="98" w:name="_bookmark41"/>
    <w:bookmarkEnd w:id="98"/>
    <w:bookmarkStart w:id="99" w:name="_bookmark40"/>
    <w:bookmarkEnd w:id="99"/>
    <w:bookmarkStart w:id="100" w:name="_bookmark39"/>
    <w:bookmarkEnd w:id="100"/>
    <w:bookmarkStart w:id="101" w:name="_bookmark38"/>
    <w:bookmarkEnd w:id="10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2887"/>
      <w:rPr>
        <w:rFonts w:ascii="宋体" w:hAnsi="宋体" w:eastAsia="宋体" w:cs="宋体"/>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2740"/>
      <w:rPr>
        <w:rFonts w:ascii="宋体" w:hAnsi="宋体" w:eastAsia="宋体" w:cs="宋体"/>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184" w:lineRule="auto"/>
      <w:ind w:left="3496"/>
      <w:rPr>
        <w:rFonts w:ascii="宋体" w:hAnsi="宋体" w:eastAsia="宋体" w:cs="宋体"/>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D09F3"/>
    <w:multiLevelType w:val="singleLevel"/>
    <w:tmpl w:val="8C6D09F3"/>
    <w:lvl w:ilvl="0" w:tentative="0">
      <w:start w:val="5"/>
      <w:numFmt w:val="chineseCounting"/>
      <w:suff w:val="nothing"/>
      <w:lvlText w:val="%1、"/>
      <w:lvlJc w:val="left"/>
      <w:rPr>
        <w:rFonts w:hint="eastAsia"/>
      </w:rPr>
    </w:lvl>
  </w:abstractNum>
  <w:abstractNum w:abstractNumId="1">
    <w:nsid w:val="D86184FB"/>
    <w:multiLevelType w:val="singleLevel"/>
    <w:tmpl w:val="D86184FB"/>
    <w:lvl w:ilvl="0" w:tentative="0">
      <w:start w:val="2"/>
      <w:numFmt w:val="decimal"/>
      <w:suff w:val="nothing"/>
      <w:lvlText w:val="（%1）"/>
      <w:lvlJc w:val="left"/>
    </w:lvl>
  </w:abstractNum>
  <w:abstractNum w:abstractNumId="2">
    <w:nsid w:val="F120C377"/>
    <w:multiLevelType w:val="singleLevel"/>
    <w:tmpl w:val="F120C377"/>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3">
    <w:nsid w:val="F53F7AAC"/>
    <w:multiLevelType w:val="singleLevel"/>
    <w:tmpl w:val="F53F7AAC"/>
    <w:lvl w:ilvl="0" w:tentative="0">
      <w:start w:val="1"/>
      <w:numFmt w:val="decimal"/>
      <w:lvlText w:val="(%1)"/>
      <w:lvlJc w:val="left"/>
      <w:pPr>
        <w:tabs>
          <w:tab w:val="left" w:pos="312"/>
        </w:tabs>
      </w:pPr>
    </w:lvl>
  </w:abstractNum>
  <w:abstractNum w:abstractNumId="4">
    <w:nsid w:val="1C0F767D"/>
    <w:multiLevelType w:val="singleLevel"/>
    <w:tmpl w:val="1C0F767D"/>
    <w:lvl w:ilvl="0" w:tentative="0">
      <w:start w:val="5"/>
      <w:numFmt w:val="chineseCounting"/>
      <w:suff w:val="space"/>
      <w:lvlText w:val="第%1章"/>
      <w:lvlJc w:val="left"/>
      <w:rPr>
        <w:rFonts w:hint="eastAsia"/>
      </w:rPr>
    </w:lvl>
  </w:abstractNum>
  <w:abstractNum w:abstractNumId="5">
    <w:nsid w:val="516CA814"/>
    <w:multiLevelType w:val="singleLevel"/>
    <w:tmpl w:val="516CA814"/>
    <w:lvl w:ilvl="0" w:tentative="0">
      <w:start w:val="2"/>
      <w:numFmt w:val="decimal"/>
      <w:suff w:val="nothing"/>
      <w:lvlText w:val="（%1）"/>
      <w:lvlJc w:val="left"/>
    </w:lvl>
  </w:abstractNum>
  <w:abstractNum w:abstractNumId="6">
    <w:nsid w:val="5B544A8B"/>
    <w:multiLevelType w:val="singleLevel"/>
    <w:tmpl w:val="5B544A8B"/>
    <w:lvl w:ilvl="0" w:tentative="0">
      <w:start w:val="1"/>
      <w:numFmt w:val="decimal"/>
      <w:suff w:val="nothing"/>
      <w:lvlText w:val="%1、"/>
      <w:lvlJc w:val="left"/>
    </w:lvl>
  </w:abstractNum>
  <w:abstractNum w:abstractNumId="7">
    <w:nsid w:val="7047E1B2"/>
    <w:multiLevelType w:val="singleLevel"/>
    <w:tmpl w:val="7047E1B2"/>
    <w:lvl w:ilvl="0" w:tentative="0">
      <w:start w:val="5"/>
      <w:numFmt w:val="chineseCounting"/>
      <w:lvlText w:val="(%1)"/>
      <w:lvlJc w:val="left"/>
      <w:pPr>
        <w:tabs>
          <w:tab w:val="left" w:pos="312"/>
        </w:tabs>
      </w:pPr>
      <w:rPr>
        <w:rFonts w:hint="eastAsia"/>
      </w:rPr>
    </w:lvl>
  </w:abstractNum>
  <w:num w:numId="1">
    <w:abstractNumId w:val="2"/>
  </w:num>
  <w:num w:numId="2">
    <w:abstractNumId w:val="7"/>
  </w:num>
  <w:num w:numId="3">
    <w:abstractNumId w:val="0"/>
  </w:num>
  <w:num w:numId="4">
    <w:abstractNumId w:val="4"/>
  </w:num>
  <w:num w:numId="5">
    <w:abstractNumId w:val="6"/>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ZjOWVlM2RiMjM5NzhmZjNkMmM4MTI5ZWVkYjFlMTUifQ=="/>
  </w:docVars>
  <w:rsids>
    <w:rsidRoot w:val="00172A27"/>
    <w:rsid w:val="00D91EDB"/>
    <w:rsid w:val="00DE1BE7"/>
    <w:rsid w:val="00EF47F8"/>
    <w:rsid w:val="012E64AE"/>
    <w:rsid w:val="01951BDE"/>
    <w:rsid w:val="01A548A2"/>
    <w:rsid w:val="01A70836"/>
    <w:rsid w:val="01B71983"/>
    <w:rsid w:val="022E6240"/>
    <w:rsid w:val="02424651"/>
    <w:rsid w:val="02C12878"/>
    <w:rsid w:val="030716CB"/>
    <w:rsid w:val="03A072F5"/>
    <w:rsid w:val="03B53F02"/>
    <w:rsid w:val="04CD1811"/>
    <w:rsid w:val="06366740"/>
    <w:rsid w:val="067C4621"/>
    <w:rsid w:val="07425049"/>
    <w:rsid w:val="08022E3E"/>
    <w:rsid w:val="08A44DE0"/>
    <w:rsid w:val="09AA2A2A"/>
    <w:rsid w:val="0BDE2A9B"/>
    <w:rsid w:val="0C227378"/>
    <w:rsid w:val="0CEC2F96"/>
    <w:rsid w:val="0F270E64"/>
    <w:rsid w:val="10CC047A"/>
    <w:rsid w:val="15654F6D"/>
    <w:rsid w:val="16084D4A"/>
    <w:rsid w:val="16FB3E5A"/>
    <w:rsid w:val="174A08AF"/>
    <w:rsid w:val="174F66DD"/>
    <w:rsid w:val="175E3034"/>
    <w:rsid w:val="17C339DD"/>
    <w:rsid w:val="17F74BC1"/>
    <w:rsid w:val="186350DC"/>
    <w:rsid w:val="199A4D74"/>
    <w:rsid w:val="1A7C4DD3"/>
    <w:rsid w:val="1DF741D9"/>
    <w:rsid w:val="1FC97167"/>
    <w:rsid w:val="1FE93444"/>
    <w:rsid w:val="22370D00"/>
    <w:rsid w:val="24442B3D"/>
    <w:rsid w:val="2599571C"/>
    <w:rsid w:val="25F046C9"/>
    <w:rsid w:val="27AB4624"/>
    <w:rsid w:val="27BA6495"/>
    <w:rsid w:val="284E222A"/>
    <w:rsid w:val="2B0521C7"/>
    <w:rsid w:val="2B974FFB"/>
    <w:rsid w:val="2C913F34"/>
    <w:rsid w:val="2CFF6D81"/>
    <w:rsid w:val="2E1D7343"/>
    <w:rsid w:val="2ED3590C"/>
    <w:rsid w:val="2F816E40"/>
    <w:rsid w:val="2F8D094A"/>
    <w:rsid w:val="2FD539BF"/>
    <w:rsid w:val="30405935"/>
    <w:rsid w:val="304D493C"/>
    <w:rsid w:val="336874EE"/>
    <w:rsid w:val="35E93C67"/>
    <w:rsid w:val="3676784D"/>
    <w:rsid w:val="36F3271F"/>
    <w:rsid w:val="36FC669A"/>
    <w:rsid w:val="37613AD6"/>
    <w:rsid w:val="37E07F0B"/>
    <w:rsid w:val="38E82DD6"/>
    <w:rsid w:val="391754FA"/>
    <w:rsid w:val="3ABD3016"/>
    <w:rsid w:val="3AD81531"/>
    <w:rsid w:val="3BB134DC"/>
    <w:rsid w:val="3C8B5199"/>
    <w:rsid w:val="3D7B0E3C"/>
    <w:rsid w:val="3DC92628"/>
    <w:rsid w:val="3EE15F78"/>
    <w:rsid w:val="3EF42E7B"/>
    <w:rsid w:val="3F4C36EE"/>
    <w:rsid w:val="3F8E5FAB"/>
    <w:rsid w:val="3F920F7D"/>
    <w:rsid w:val="40BD6364"/>
    <w:rsid w:val="42901F79"/>
    <w:rsid w:val="42FF3FE9"/>
    <w:rsid w:val="436305ED"/>
    <w:rsid w:val="44656496"/>
    <w:rsid w:val="44E1092B"/>
    <w:rsid w:val="45443A7B"/>
    <w:rsid w:val="48874584"/>
    <w:rsid w:val="48B37F53"/>
    <w:rsid w:val="494D47E1"/>
    <w:rsid w:val="49FF4D8A"/>
    <w:rsid w:val="4AB4007B"/>
    <w:rsid w:val="4AB45B59"/>
    <w:rsid w:val="4B7B6255"/>
    <w:rsid w:val="4B952841"/>
    <w:rsid w:val="4C750C14"/>
    <w:rsid w:val="4E1844A1"/>
    <w:rsid w:val="4EFE20DA"/>
    <w:rsid w:val="50692FCB"/>
    <w:rsid w:val="51454B8D"/>
    <w:rsid w:val="51C66EA1"/>
    <w:rsid w:val="531D4F96"/>
    <w:rsid w:val="53D90EA5"/>
    <w:rsid w:val="540F33F1"/>
    <w:rsid w:val="55582054"/>
    <w:rsid w:val="56FC261B"/>
    <w:rsid w:val="57664CA5"/>
    <w:rsid w:val="577F650C"/>
    <w:rsid w:val="57956475"/>
    <w:rsid w:val="581E6DFA"/>
    <w:rsid w:val="58207CED"/>
    <w:rsid w:val="58FC0BB7"/>
    <w:rsid w:val="5A0B3629"/>
    <w:rsid w:val="5ABE7B47"/>
    <w:rsid w:val="5AD96D0B"/>
    <w:rsid w:val="5B0F1D69"/>
    <w:rsid w:val="5B5F1B15"/>
    <w:rsid w:val="5C5878A5"/>
    <w:rsid w:val="5DAD47B3"/>
    <w:rsid w:val="5F5C0E82"/>
    <w:rsid w:val="610C7A95"/>
    <w:rsid w:val="61A67B04"/>
    <w:rsid w:val="61E23389"/>
    <w:rsid w:val="623936FD"/>
    <w:rsid w:val="63396CB9"/>
    <w:rsid w:val="645962D8"/>
    <w:rsid w:val="65606A33"/>
    <w:rsid w:val="66DF48CC"/>
    <w:rsid w:val="680E2F36"/>
    <w:rsid w:val="69DC778F"/>
    <w:rsid w:val="6C4843AF"/>
    <w:rsid w:val="6F922FC4"/>
    <w:rsid w:val="6FEB77A9"/>
    <w:rsid w:val="7215491F"/>
    <w:rsid w:val="728A3B01"/>
    <w:rsid w:val="72BA056F"/>
    <w:rsid w:val="749F5145"/>
    <w:rsid w:val="74B60862"/>
    <w:rsid w:val="782979AD"/>
    <w:rsid w:val="7892739C"/>
    <w:rsid w:val="7A0F5453"/>
    <w:rsid w:val="7A595815"/>
    <w:rsid w:val="7A7D5EE5"/>
    <w:rsid w:val="7BF527ED"/>
    <w:rsid w:val="7CFF3B3D"/>
    <w:rsid w:val="7D296AA7"/>
    <w:rsid w:val="7D902913"/>
    <w:rsid w:val="7E111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header"/>
    <w:basedOn w:val="1"/>
    <w:next w:val="3"/>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qFormat/>
    <w:uiPriority w:val="0"/>
    <w:pPr>
      <w:spacing w:after="120" w:line="360" w:lineRule="auto"/>
      <w:jc w:val="left"/>
    </w:pPr>
    <w:rPr>
      <w:sz w:val="24"/>
    </w:rPr>
  </w:style>
  <w:style w:type="paragraph" w:styleId="7">
    <w:name w:val="List Bullet 5"/>
    <w:basedOn w:val="1"/>
    <w:qFormat/>
    <w:uiPriority w:val="0"/>
    <w:pPr>
      <w:numPr>
        <w:ilvl w:val="0"/>
        <w:numId w:val="1"/>
      </w:numPr>
    </w:p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Body Text First Indent"/>
    <w:basedOn w:val="3"/>
    <w:qFormat/>
    <w:uiPriority w:val="0"/>
    <w:pPr>
      <w:spacing w:after="120" w:line="240" w:lineRule="auto"/>
      <w:ind w:firstLine="420" w:firstLineChars="100"/>
      <w:jc w:val="both"/>
    </w:pPr>
    <w:rPr>
      <w:rFonts w:ascii="Times New Roman" w:eastAsia="宋体"/>
      <w:sz w:val="21"/>
    </w:rPr>
  </w:style>
  <w:style w:type="table" w:styleId="14">
    <w:name w:val="Table Grid"/>
    <w:basedOn w:val="13"/>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表格文字"/>
    <w:basedOn w:val="12"/>
    <w:next w:val="1"/>
    <w:qFormat/>
    <w:uiPriority w:val="0"/>
    <w:pPr>
      <w:autoSpaceDE w:val="0"/>
      <w:autoSpaceDN w:val="0"/>
      <w:adjustRightInd w:val="0"/>
      <w:spacing w:before="60" w:after="60"/>
      <w:jc w:val="left"/>
      <w:textAlignment w:val="bottom"/>
    </w:pPr>
    <w:rPr>
      <w:kern w:val="0"/>
      <w:szCs w:val="20"/>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styleId="18">
    <w:name w:val="List Paragraph"/>
    <w:basedOn w:val="1"/>
    <w:unhideWhenUsed/>
    <w:qFormat/>
    <w:uiPriority w:val="1"/>
    <w:pPr>
      <w:spacing w:beforeLines="0" w:afterLines="0"/>
    </w:pPr>
    <w:rPr>
      <w:rFonts w:hint="default"/>
      <w:sz w:val="24"/>
      <w:szCs w:val="24"/>
    </w:rPr>
  </w:style>
  <w:style w:type="paragraph" w:customStyle="1" w:styleId="19">
    <w:name w:val="Table Paragraph"/>
    <w:basedOn w:val="1"/>
    <w:unhideWhenUsed/>
    <w:qFormat/>
    <w:uiPriority w:val="1"/>
    <w:pPr>
      <w:spacing w:beforeLines="0" w:afterLines="0"/>
      <w:jc w:val="center"/>
    </w:pPr>
    <w:rPr>
      <w:rFonts w:hint="eastAsia"/>
      <w:sz w:val="24"/>
      <w:szCs w:val="24"/>
    </w:rPr>
  </w:style>
  <w:style w:type="character" w:customStyle="1" w:styleId="20">
    <w:name w:val="font31"/>
    <w:basedOn w:val="15"/>
    <w:qFormat/>
    <w:uiPriority w:val="0"/>
    <w:rPr>
      <w:rFonts w:ascii="宋体" w:hAnsi="宋体" w:eastAsia="宋体" w:cs="宋体"/>
      <w:b/>
      <w:bCs/>
      <w:color w:val="000000"/>
      <w:sz w:val="28"/>
      <w:szCs w:val="28"/>
      <w:u w:val="none"/>
    </w:rPr>
  </w:style>
  <w:style w:type="character" w:customStyle="1" w:styleId="21">
    <w:name w:val="font41"/>
    <w:basedOn w:val="15"/>
    <w:qFormat/>
    <w:uiPriority w:val="0"/>
    <w:rPr>
      <w:rFonts w:hint="default" w:ascii="Arial" w:hAnsi="Arial" w:cs="Arial"/>
      <w:color w:val="000000"/>
      <w:sz w:val="10"/>
      <w:szCs w:val="10"/>
      <w:u w:val="none"/>
    </w:rPr>
  </w:style>
  <w:style w:type="character" w:customStyle="1" w:styleId="22">
    <w:name w:val="font51"/>
    <w:basedOn w:val="15"/>
    <w:qFormat/>
    <w:uiPriority w:val="0"/>
    <w:rPr>
      <w:rFonts w:ascii="宋体" w:hAnsi="宋体" w:eastAsia="宋体" w:cs="宋体"/>
      <w:color w:val="000000"/>
      <w:sz w:val="28"/>
      <w:szCs w:val="28"/>
      <w:u w:val="none"/>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小表头"/>
    <w:basedOn w:val="1"/>
    <w:autoRedefine/>
    <w:qFormat/>
    <w:uiPriority w:val="0"/>
    <w:pPr>
      <w:spacing w:line="400" w:lineRule="exact"/>
      <w:ind w:firstLine="0" w:firstLineChars="0"/>
      <w:jc w:val="center"/>
    </w:pPr>
    <w:rPr>
      <w:rFonts w:ascii="Times New Roman" w:hAnsi="Times New Roman"/>
      <w:b/>
      <w:sz w:val="21"/>
    </w:rPr>
  </w:style>
  <w:style w:type="paragraph" w:customStyle="1" w:styleId="26">
    <w:name w:val="表格"/>
    <w:basedOn w:val="1"/>
    <w:autoRedefine/>
    <w:qFormat/>
    <w:uiPriority w:val="0"/>
    <w:pPr>
      <w:spacing w:line="240" w:lineRule="auto"/>
      <w:ind w:firstLine="0" w:firstLineChars="0"/>
      <w:jc w:val="center"/>
    </w:pPr>
    <w:rPr>
      <w:rFonts w:ascii="Times New Roman" w:hAnsi="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chart" Target="charts/chart4.xml"/><Relationship Id="rId26" Type="http://schemas.openxmlformats.org/officeDocument/2006/relationships/chart" Target="charts/chart3.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PC2\Desktop\&#24037;&#20316;&#31807;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PC2\Desktop\&#24037;&#20316;&#31807;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PC2\Desktop\&#24037;&#20316;&#31807;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PC2\Desktop\&#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噪声衰减图</a:t>
            </a:r>
          </a:p>
        </c:rich>
      </c:tx>
      <c:layout/>
      <c:overlay val="0"/>
      <c:spPr>
        <a:noFill/>
        <a:ln>
          <a:noFill/>
        </a:ln>
        <a:effectLst/>
      </c:spPr>
    </c:title>
    <c:autoTitleDeleted val="0"/>
    <c:plotArea>
      <c:layout/>
      <c:lineChart>
        <c:grouping val="standard"/>
        <c:varyColors val="0"/>
        <c:ser>
          <c:idx val="0"/>
          <c:order val="0"/>
          <c:tx>
            <c:strRef>
              <c:f>[工作簿1.xlsx]Sheet1!$B$1</c:f>
              <c:strCache>
                <c:ptCount val="1"/>
                <c:pt idx="0">
                  <c:v>  昼间噪声值</c:v>
                </c:pt>
              </c:strCache>
            </c:strRef>
          </c:tx>
          <c:spPr>
            <a:ln w="28575" cap="rnd">
              <a:solidFill>
                <a:schemeClr val="accent1"/>
              </a:solidFill>
              <a:round/>
            </a:ln>
            <a:effectLst/>
          </c:spPr>
          <c:marker>
            <c:symbol val="none"/>
          </c:marker>
          <c:dLbls>
            <c:delete val="1"/>
          </c:dLbls>
          <c:cat>
            <c:strRef>
              <c:f>[工作簿1.xlsx]Sheet1!$A$2:$A$6</c:f>
              <c:strCache>
                <c:ptCount val="5"/>
                <c:pt idx="0">
                  <c:v>40m</c:v>
                </c:pt>
                <c:pt idx="1">
                  <c:v>60m</c:v>
                </c:pt>
                <c:pt idx="2">
                  <c:v>80m</c:v>
                </c:pt>
                <c:pt idx="3">
                  <c:v>120m</c:v>
                </c:pt>
                <c:pt idx="4">
                  <c:v>200m</c:v>
                </c:pt>
              </c:strCache>
            </c:strRef>
          </c:cat>
          <c:val>
            <c:numRef>
              <c:f>[工作簿1.xlsx]Sheet1!$B$2:$B$6</c:f>
              <c:numCache>
                <c:formatCode>General</c:formatCode>
                <c:ptCount val="5"/>
                <c:pt idx="0">
                  <c:v>60</c:v>
                </c:pt>
                <c:pt idx="1">
                  <c:v>59</c:v>
                </c:pt>
                <c:pt idx="2">
                  <c:v>58</c:v>
                </c:pt>
                <c:pt idx="3">
                  <c:v>57</c:v>
                </c:pt>
                <c:pt idx="4">
                  <c:v>52</c:v>
                </c:pt>
              </c:numCache>
            </c:numRef>
          </c:val>
          <c:smooth val="0"/>
        </c:ser>
        <c:ser>
          <c:idx val="1"/>
          <c:order val="1"/>
          <c:tx>
            <c:strRef>
              <c:f>[工作簿1.xlsx]Sheet1!$C$1</c:f>
              <c:strCache>
                <c:ptCount val="1"/>
                <c:pt idx="0">
                  <c:v> 夜间噪声值</c:v>
                </c:pt>
              </c:strCache>
            </c:strRef>
          </c:tx>
          <c:spPr>
            <a:ln w="28575" cap="rnd">
              <a:solidFill>
                <a:schemeClr val="accent2"/>
              </a:solidFill>
              <a:round/>
            </a:ln>
            <a:effectLst/>
          </c:spPr>
          <c:marker>
            <c:symbol val="none"/>
          </c:marker>
          <c:dLbls>
            <c:delete val="1"/>
          </c:dLbls>
          <c:cat>
            <c:strRef>
              <c:f>[工作簿1.xlsx]Sheet1!$A$2:$A$6</c:f>
              <c:strCache>
                <c:ptCount val="5"/>
                <c:pt idx="0">
                  <c:v>40m</c:v>
                </c:pt>
                <c:pt idx="1">
                  <c:v>60m</c:v>
                </c:pt>
                <c:pt idx="2">
                  <c:v>80m</c:v>
                </c:pt>
                <c:pt idx="3">
                  <c:v>120m</c:v>
                </c:pt>
                <c:pt idx="4">
                  <c:v>200m</c:v>
                </c:pt>
              </c:strCache>
            </c:strRef>
          </c:cat>
          <c:val>
            <c:numRef>
              <c:f>[工作簿1.xlsx]Sheet1!$C$2:$C$6</c:f>
              <c:numCache>
                <c:formatCode>General</c:formatCode>
                <c:ptCount val="5"/>
                <c:pt idx="0">
                  <c:v>52</c:v>
                </c:pt>
                <c:pt idx="1">
                  <c:v>50</c:v>
                </c:pt>
                <c:pt idx="2">
                  <c:v>47</c:v>
                </c:pt>
                <c:pt idx="3">
                  <c:v>45</c:v>
                </c:pt>
                <c:pt idx="4">
                  <c:v>42</c:v>
                </c:pt>
              </c:numCache>
            </c:numRef>
          </c:val>
          <c:smooth val="0"/>
        </c:ser>
        <c:dLbls>
          <c:showLegendKey val="0"/>
          <c:showVal val="0"/>
          <c:showCatName val="0"/>
          <c:showSerName val="0"/>
          <c:showPercent val="0"/>
          <c:showBubbleSize val="0"/>
        </c:dLbls>
        <c:marker val="0"/>
        <c:smooth val="0"/>
        <c:axId val="226683483"/>
        <c:axId val="201628754"/>
      </c:lineChart>
      <c:catAx>
        <c:axId val="22668348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628754"/>
        <c:crosses val="autoZero"/>
        <c:auto val="1"/>
        <c:lblAlgn val="ctr"/>
        <c:lblOffset val="100"/>
        <c:noMultiLvlLbl val="0"/>
      </c:catAx>
      <c:valAx>
        <c:axId val="201628754"/>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668348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噪声衰减图</a:t>
            </a:r>
          </a:p>
        </c:rich>
      </c:tx>
      <c:layout/>
      <c:overlay val="0"/>
      <c:spPr>
        <a:noFill/>
        <a:ln>
          <a:noFill/>
        </a:ln>
        <a:effectLst/>
      </c:spPr>
    </c:title>
    <c:autoTitleDeleted val="0"/>
    <c:plotArea>
      <c:layout/>
      <c:lineChart>
        <c:grouping val="standard"/>
        <c:varyColors val="0"/>
        <c:ser>
          <c:idx val="0"/>
          <c:order val="0"/>
          <c:tx>
            <c:strRef>
              <c:f>[工作簿1.xlsx]Sheet1!$B$1</c:f>
              <c:strCache>
                <c:ptCount val="1"/>
                <c:pt idx="0">
                  <c:v>  昼间噪声值</c:v>
                </c:pt>
              </c:strCache>
            </c:strRef>
          </c:tx>
          <c:spPr>
            <a:ln w="28575" cap="rnd">
              <a:solidFill>
                <a:schemeClr val="accent1"/>
              </a:solidFill>
              <a:round/>
            </a:ln>
            <a:effectLst/>
          </c:spPr>
          <c:marker>
            <c:symbol val="none"/>
          </c:marker>
          <c:dLbls>
            <c:delete val="1"/>
          </c:dLbls>
          <c:cat>
            <c:strRef>
              <c:f>[工作簿1.xlsx]Sheet1!$A$2:$A$6</c:f>
              <c:strCache>
                <c:ptCount val="5"/>
                <c:pt idx="0">
                  <c:v>40m</c:v>
                </c:pt>
                <c:pt idx="1">
                  <c:v>60m</c:v>
                </c:pt>
                <c:pt idx="2">
                  <c:v>80m</c:v>
                </c:pt>
                <c:pt idx="3">
                  <c:v>120m</c:v>
                </c:pt>
                <c:pt idx="4">
                  <c:v>200m</c:v>
                </c:pt>
              </c:strCache>
            </c:strRef>
          </c:cat>
          <c:val>
            <c:numRef>
              <c:f>[工作簿1.xlsx]Sheet1!$B$2:$B$6</c:f>
              <c:numCache>
                <c:formatCode>General</c:formatCode>
                <c:ptCount val="5"/>
                <c:pt idx="0">
                  <c:v>57</c:v>
                </c:pt>
                <c:pt idx="1">
                  <c:v>56</c:v>
                </c:pt>
                <c:pt idx="2">
                  <c:v>56</c:v>
                </c:pt>
                <c:pt idx="3">
                  <c:v>55</c:v>
                </c:pt>
                <c:pt idx="4">
                  <c:v>53</c:v>
                </c:pt>
              </c:numCache>
            </c:numRef>
          </c:val>
          <c:smooth val="0"/>
        </c:ser>
        <c:ser>
          <c:idx val="1"/>
          <c:order val="1"/>
          <c:tx>
            <c:strRef>
              <c:f>[工作簿1.xlsx]Sheet1!$C$1</c:f>
              <c:strCache>
                <c:ptCount val="1"/>
                <c:pt idx="0">
                  <c:v> 夜间噪声值</c:v>
                </c:pt>
              </c:strCache>
            </c:strRef>
          </c:tx>
          <c:spPr>
            <a:ln w="28575" cap="rnd">
              <a:solidFill>
                <a:schemeClr val="accent2"/>
              </a:solidFill>
              <a:round/>
            </a:ln>
            <a:effectLst/>
          </c:spPr>
          <c:marker>
            <c:symbol val="none"/>
          </c:marker>
          <c:dLbls>
            <c:delete val="1"/>
          </c:dLbls>
          <c:cat>
            <c:strRef>
              <c:f>[工作簿1.xlsx]Sheet1!$A$2:$A$6</c:f>
              <c:strCache>
                <c:ptCount val="5"/>
                <c:pt idx="0">
                  <c:v>40m</c:v>
                </c:pt>
                <c:pt idx="1">
                  <c:v>60m</c:v>
                </c:pt>
                <c:pt idx="2">
                  <c:v>80m</c:v>
                </c:pt>
                <c:pt idx="3">
                  <c:v>120m</c:v>
                </c:pt>
                <c:pt idx="4">
                  <c:v>200m</c:v>
                </c:pt>
              </c:strCache>
            </c:strRef>
          </c:cat>
          <c:val>
            <c:numRef>
              <c:f>[工作簿1.xlsx]Sheet1!$C$2:$C$6</c:f>
              <c:numCache>
                <c:formatCode>General</c:formatCode>
                <c:ptCount val="5"/>
                <c:pt idx="0">
                  <c:v>47</c:v>
                </c:pt>
                <c:pt idx="1">
                  <c:v>45</c:v>
                </c:pt>
                <c:pt idx="2">
                  <c:v>43</c:v>
                </c:pt>
                <c:pt idx="3">
                  <c:v>43</c:v>
                </c:pt>
                <c:pt idx="4">
                  <c:v>42</c:v>
                </c:pt>
              </c:numCache>
            </c:numRef>
          </c:val>
          <c:smooth val="0"/>
        </c:ser>
        <c:dLbls>
          <c:showLegendKey val="0"/>
          <c:showVal val="0"/>
          <c:showCatName val="0"/>
          <c:showSerName val="0"/>
          <c:showPercent val="0"/>
          <c:showBubbleSize val="0"/>
        </c:dLbls>
        <c:marker val="0"/>
        <c:smooth val="0"/>
        <c:axId val="760616511"/>
        <c:axId val="260667003"/>
      </c:lineChart>
      <c:catAx>
        <c:axId val="7606165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667003"/>
        <c:crosses val="autoZero"/>
        <c:auto val="1"/>
        <c:lblAlgn val="ctr"/>
        <c:lblOffset val="100"/>
        <c:noMultiLvlLbl val="0"/>
      </c:catAx>
      <c:valAx>
        <c:axId val="260667003"/>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061651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[工作簿1.xlsx]Sheet1!$B$1</c:f>
              <c:strCache>
                <c:ptCount val="1"/>
                <c:pt idx="0">
                  <c:v>噪声值dB(A)</c:v>
                </c:pt>
              </c:strCache>
            </c:strRef>
          </c:tx>
          <c:spPr>
            <a:ln w="28575" cap="rnd">
              <a:solidFill>
                <a:schemeClr val="accent1"/>
              </a:solidFill>
              <a:round/>
            </a:ln>
            <a:effectLst/>
          </c:spPr>
          <c:marker>
            <c:symbol val="none"/>
          </c:marker>
          <c:dLbls>
            <c:delete val="1"/>
          </c:dLbls>
          <c:cat>
            <c:strRef>
              <c:f>[工作簿1.xlsx]Sheet1!$A$2:$A$25</c:f>
              <c:strCache>
                <c:ptCount val="24"/>
                <c:pt idx="0">
                  <c:v>14:00-15:00</c:v>
                </c:pt>
                <c:pt idx="1">
                  <c:v>15:00-16:00</c:v>
                </c:pt>
                <c:pt idx="2">
                  <c:v>16:00-17:00</c:v>
                </c:pt>
                <c:pt idx="3">
                  <c:v>17:00-18:00</c:v>
                </c:pt>
                <c:pt idx="4">
                  <c:v>18:00-19:00</c:v>
                </c:pt>
                <c:pt idx="5">
                  <c:v>19:00-20:00</c:v>
                </c:pt>
                <c:pt idx="6">
                  <c:v>20:00-21:00</c:v>
                </c:pt>
                <c:pt idx="7">
                  <c:v>21:00-22:00</c:v>
                </c:pt>
                <c:pt idx="8">
                  <c:v>22:00-23:00</c:v>
                </c:pt>
                <c:pt idx="9">
                  <c:v>23:00-次日00:00</c:v>
                </c:pt>
                <c:pt idx="10">
                  <c:v>次日00:00-01:00</c:v>
                </c:pt>
                <c:pt idx="11">
                  <c:v>次日01:00-02:00</c:v>
                </c:pt>
                <c:pt idx="12">
                  <c:v>次日02:00-03:00</c:v>
                </c:pt>
                <c:pt idx="13">
                  <c:v>次日03:00-04:00</c:v>
                </c:pt>
                <c:pt idx="14">
                  <c:v>次日04:00-05:00</c:v>
                </c:pt>
                <c:pt idx="15">
                  <c:v>次日05:00-06:00</c:v>
                </c:pt>
                <c:pt idx="16">
                  <c:v>次日06:00-07:00</c:v>
                </c:pt>
                <c:pt idx="17">
                  <c:v>次日07:00-08:00</c:v>
                </c:pt>
                <c:pt idx="18">
                  <c:v>次日08:00-09:00</c:v>
                </c:pt>
                <c:pt idx="19">
                  <c:v>次日09:00-10:00</c:v>
                </c:pt>
                <c:pt idx="20">
                  <c:v>次日10:00-11:00</c:v>
                </c:pt>
                <c:pt idx="21">
                  <c:v>次日11:00-12:00</c:v>
                </c:pt>
                <c:pt idx="22">
                  <c:v>次日12:00-13:00</c:v>
                </c:pt>
                <c:pt idx="23">
                  <c:v>次日13:00-14:00</c:v>
                </c:pt>
              </c:strCache>
            </c:strRef>
          </c:cat>
          <c:val>
            <c:numRef>
              <c:f>[工作簿1.xlsx]Sheet1!$B$2:$B$25</c:f>
              <c:numCache>
                <c:formatCode>General</c:formatCode>
                <c:ptCount val="24"/>
                <c:pt idx="0">
                  <c:v>66</c:v>
                </c:pt>
                <c:pt idx="1">
                  <c:v>62</c:v>
                </c:pt>
                <c:pt idx="2">
                  <c:v>62</c:v>
                </c:pt>
                <c:pt idx="3">
                  <c:v>61</c:v>
                </c:pt>
                <c:pt idx="4">
                  <c:v>60</c:v>
                </c:pt>
                <c:pt idx="5">
                  <c:v>58</c:v>
                </c:pt>
                <c:pt idx="6">
                  <c:v>57</c:v>
                </c:pt>
                <c:pt idx="7">
                  <c:v>55</c:v>
                </c:pt>
                <c:pt idx="8">
                  <c:v>54</c:v>
                </c:pt>
                <c:pt idx="9">
                  <c:v>53</c:v>
                </c:pt>
                <c:pt idx="10">
                  <c:v>55</c:v>
                </c:pt>
                <c:pt idx="11">
                  <c:v>55</c:v>
                </c:pt>
                <c:pt idx="12">
                  <c:v>55</c:v>
                </c:pt>
                <c:pt idx="13">
                  <c:v>57</c:v>
                </c:pt>
                <c:pt idx="14">
                  <c:v>57</c:v>
                </c:pt>
                <c:pt idx="15">
                  <c:v>60</c:v>
                </c:pt>
                <c:pt idx="16">
                  <c:v>64</c:v>
                </c:pt>
                <c:pt idx="17">
                  <c:v>64</c:v>
                </c:pt>
                <c:pt idx="18">
                  <c:v>62</c:v>
                </c:pt>
                <c:pt idx="19">
                  <c:v>61</c:v>
                </c:pt>
                <c:pt idx="20">
                  <c:v>61</c:v>
                </c:pt>
                <c:pt idx="21">
                  <c:v>61</c:v>
                </c:pt>
                <c:pt idx="22">
                  <c:v>60</c:v>
                </c:pt>
                <c:pt idx="23">
                  <c:v>60</c:v>
                </c:pt>
              </c:numCache>
            </c:numRef>
          </c:val>
          <c:smooth val="0"/>
        </c:ser>
        <c:dLbls>
          <c:showLegendKey val="0"/>
          <c:showVal val="0"/>
          <c:showCatName val="0"/>
          <c:showSerName val="0"/>
          <c:showPercent val="0"/>
          <c:showBubbleSize val="0"/>
        </c:dLbls>
        <c:marker val="0"/>
        <c:smooth val="0"/>
        <c:axId val="585874635"/>
        <c:axId val="294643858"/>
      </c:lineChart>
      <c:catAx>
        <c:axId val="5858746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4643858"/>
        <c:crosses val="autoZero"/>
        <c:auto val="1"/>
        <c:lblAlgn val="ctr"/>
        <c:lblOffset val="100"/>
        <c:noMultiLvlLbl val="0"/>
      </c:catAx>
      <c:valAx>
        <c:axId val="294643858"/>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587463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[工作簿1.xlsx]Sheet1!$B$1</c:f>
              <c:strCache>
                <c:ptCount val="1"/>
                <c:pt idx="0">
                  <c:v>噪声值dB(A)</c:v>
                </c:pt>
              </c:strCache>
            </c:strRef>
          </c:tx>
          <c:spPr>
            <a:ln w="28575" cap="rnd">
              <a:solidFill>
                <a:schemeClr val="accent1"/>
              </a:solidFill>
              <a:round/>
            </a:ln>
            <a:effectLst/>
          </c:spPr>
          <c:marker>
            <c:symbol val="none"/>
          </c:marker>
          <c:dLbls>
            <c:delete val="1"/>
          </c:dLbls>
          <c:cat>
            <c:strRef>
              <c:f>[工作簿1.xlsx]Sheet1!$A$2:$A$25</c:f>
              <c:strCache>
                <c:ptCount val="24"/>
                <c:pt idx="0">
                  <c:v>11:00-12:00</c:v>
                </c:pt>
                <c:pt idx="1">
                  <c:v>12:00-13:00</c:v>
                </c:pt>
                <c:pt idx="2">
                  <c:v>13:00-14:00</c:v>
                </c:pt>
                <c:pt idx="3">
                  <c:v>14:00-15:00</c:v>
                </c:pt>
                <c:pt idx="4">
                  <c:v>15:00-16:00</c:v>
                </c:pt>
                <c:pt idx="5">
                  <c:v>16:00-17:00</c:v>
                </c:pt>
                <c:pt idx="6">
                  <c:v>17:00-18:00</c:v>
                </c:pt>
                <c:pt idx="7">
                  <c:v>18:00-19:00</c:v>
                </c:pt>
                <c:pt idx="8">
                  <c:v>19:00-20:00</c:v>
                </c:pt>
                <c:pt idx="9">
                  <c:v>20:00-21:00</c:v>
                </c:pt>
                <c:pt idx="10">
                  <c:v>21:00-22:00</c:v>
                </c:pt>
                <c:pt idx="11">
                  <c:v>22:00-23:00</c:v>
                </c:pt>
                <c:pt idx="12">
                  <c:v>23:00-次日00:00</c:v>
                </c:pt>
                <c:pt idx="13">
                  <c:v>次日00:00-01:00</c:v>
                </c:pt>
                <c:pt idx="14">
                  <c:v>次日01:00-02:00</c:v>
                </c:pt>
                <c:pt idx="15">
                  <c:v>次日02:00-03:00</c:v>
                </c:pt>
                <c:pt idx="16">
                  <c:v>次日03:00-04:00</c:v>
                </c:pt>
                <c:pt idx="17">
                  <c:v>次日04:00-05:00</c:v>
                </c:pt>
                <c:pt idx="18">
                  <c:v>次日05:00-06:00</c:v>
                </c:pt>
                <c:pt idx="19">
                  <c:v>次日06:00-07:00</c:v>
                </c:pt>
                <c:pt idx="20">
                  <c:v>次日07:00-08:00</c:v>
                </c:pt>
                <c:pt idx="21">
                  <c:v>次日08:00-09:00</c:v>
                </c:pt>
                <c:pt idx="22">
                  <c:v>次日09:00-10:00</c:v>
                </c:pt>
                <c:pt idx="23">
                  <c:v>次日10:00-11:00</c:v>
                </c:pt>
              </c:strCache>
            </c:strRef>
          </c:cat>
          <c:val>
            <c:numRef>
              <c:f>[工作簿1.xlsx]Sheet1!$B$2:$B$25</c:f>
              <c:numCache>
                <c:formatCode>General</c:formatCode>
                <c:ptCount val="24"/>
                <c:pt idx="0">
                  <c:v>53</c:v>
                </c:pt>
                <c:pt idx="1">
                  <c:v>53</c:v>
                </c:pt>
                <c:pt idx="2">
                  <c:v>50</c:v>
                </c:pt>
                <c:pt idx="3">
                  <c:v>50</c:v>
                </c:pt>
                <c:pt idx="4">
                  <c:v>54</c:v>
                </c:pt>
                <c:pt idx="5">
                  <c:v>52</c:v>
                </c:pt>
                <c:pt idx="6">
                  <c:v>57</c:v>
                </c:pt>
                <c:pt idx="7">
                  <c:v>62</c:v>
                </c:pt>
                <c:pt idx="8">
                  <c:v>64</c:v>
                </c:pt>
                <c:pt idx="9">
                  <c:v>55</c:v>
                </c:pt>
                <c:pt idx="10">
                  <c:v>55</c:v>
                </c:pt>
                <c:pt idx="11">
                  <c:v>56</c:v>
                </c:pt>
                <c:pt idx="12">
                  <c:v>53</c:v>
                </c:pt>
                <c:pt idx="13">
                  <c:v>56</c:v>
                </c:pt>
                <c:pt idx="14">
                  <c:v>54</c:v>
                </c:pt>
                <c:pt idx="15">
                  <c:v>48</c:v>
                </c:pt>
                <c:pt idx="16">
                  <c:v>49</c:v>
                </c:pt>
                <c:pt idx="17">
                  <c:v>51</c:v>
                </c:pt>
                <c:pt idx="18">
                  <c:v>52</c:v>
                </c:pt>
                <c:pt idx="19">
                  <c:v>54</c:v>
                </c:pt>
                <c:pt idx="20">
                  <c:v>54</c:v>
                </c:pt>
                <c:pt idx="21">
                  <c:v>54</c:v>
                </c:pt>
                <c:pt idx="22">
                  <c:v>54</c:v>
                </c:pt>
                <c:pt idx="23">
                  <c:v>53</c:v>
                </c:pt>
              </c:numCache>
            </c:numRef>
          </c:val>
          <c:smooth val="0"/>
        </c:ser>
        <c:dLbls>
          <c:showLegendKey val="0"/>
          <c:showVal val="0"/>
          <c:showCatName val="0"/>
          <c:showSerName val="0"/>
          <c:showPercent val="0"/>
          <c:showBubbleSize val="0"/>
        </c:dLbls>
        <c:marker val="0"/>
        <c:smooth val="0"/>
        <c:axId val="988480552"/>
        <c:axId val="401834103"/>
      </c:lineChart>
      <c:catAx>
        <c:axId val="9884805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1834103"/>
        <c:crosses val="autoZero"/>
        <c:auto val="1"/>
        <c:lblAlgn val="ctr"/>
        <c:lblOffset val="100"/>
        <c:noMultiLvlLbl val="0"/>
      </c:catAx>
      <c:valAx>
        <c:axId val="401834103"/>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848055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10969</Words>
  <Characters>13053</Characters>
  <Lines>0</Lines>
  <Paragraphs>0</Paragraphs>
  <TotalTime>3</TotalTime>
  <ScaleCrop>false</ScaleCrop>
  <LinksUpToDate>false</LinksUpToDate>
  <CharactersWithSpaces>13469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2023-10-30T01:27:00Z</dcterms:created>
  <dc:creator>环评、水保</dc:creator>
  <cp:lastModifiedBy>环评、水保</cp:lastModifiedBy>
  <dcterms:modified xsi:type="dcterms:W3CDTF">2024-01-12T03:50:24Z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B2D00ACF65074517AB1EC903F74E736A_11</vt:lpwstr>
  </property>
</Properties>
</file>